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11D06" w14:textId="73CBCB2D" w:rsidR="00CB7169" w:rsidRDefault="00CB7169" w:rsidP="00EA2BC4">
      <w:pPr>
        <w:pStyle w:val="SCT"/>
        <w:spacing w:before="480"/>
      </w:pPr>
      <w:r>
        <w:t>Revisado el 29 de abril de 2024</w:t>
      </w:r>
    </w:p>
    <w:p w14:paraId="7652A0C2" w14:textId="25F663D8" w:rsidR="00A67553" w:rsidRPr="00BC2914" w:rsidRDefault="00A67553" w:rsidP="00A67553">
      <w:pPr>
        <w:suppressAutoHyphens/>
        <w:spacing w:before="240" w:after="0" w:line="240" w:lineRule="auto"/>
        <w:jc w:val="both"/>
        <w:rPr>
          <w:rFonts w:ascii="Times New Roman" w:eastAsia="Times New Roman" w:hAnsi="Times New Roman"/>
          <w:szCs w:val="20"/>
        </w:rPr>
      </w:pPr>
      <w:r>
        <w:rPr>
          <w:rFonts w:ascii="Times New Roman" w:eastAsia="Times New Roman" w:hAnsi="Times New Roman"/>
          <w:szCs w:val="20"/>
        </w:rPr>
        <w:t>SECCIÓN 233300 – ACCESORIOS PARA DUCTOS DE AIRE</w:t>
      </w:r>
    </w:p>
    <w:p w14:paraId="5AEE391F" w14:textId="77777777" w:rsidR="00BC2914" w:rsidRPr="00BC2914" w:rsidRDefault="00BC2914" w:rsidP="00A67553">
      <w:pPr>
        <w:keepNext/>
        <w:numPr>
          <w:ilvl w:val="3"/>
          <w:numId w:val="3"/>
        </w:numPr>
        <w:tabs>
          <w:tab w:val="left" w:pos="864"/>
        </w:tabs>
        <w:suppressAutoHyphens/>
        <w:spacing w:before="360" w:after="0" w:line="240" w:lineRule="auto"/>
        <w:jc w:val="both"/>
        <w:outlineLvl w:val="1"/>
        <w:rPr>
          <w:rFonts w:ascii="Times New Roman" w:eastAsia="Times New Roman" w:hAnsi="Times New Roman"/>
          <w:szCs w:val="20"/>
        </w:rPr>
      </w:pPr>
      <w:r>
        <w:rPr>
          <w:rFonts w:ascii="Times New Roman" w:eastAsia="Times New Roman" w:hAnsi="Times New Roman"/>
          <w:szCs w:val="20"/>
        </w:rPr>
        <w:t xml:space="preserve">COMPUERTAS DE HUMO </w:t>
      </w:r>
    </w:p>
    <w:p w14:paraId="6D446853" w14:textId="77777777" w:rsidR="00BC2914" w:rsidRPr="00BC2914" w:rsidRDefault="00BC2914" w:rsidP="00A67553">
      <w:pPr>
        <w:numPr>
          <w:ilvl w:val="4"/>
          <w:numId w:val="3"/>
        </w:numPr>
        <w:tabs>
          <w:tab w:val="left" w:pos="864"/>
        </w:tabs>
        <w:suppressAutoHyphens/>
        <w:spacing w:before="240" w:after="0" w:line="240" w:lineRule="auto"/>
        <w:outlineLvl w:val="2"/>
        <w:rPr>
          <w:rFonts w:ascii="Times New Roman" w:eastAsia="Times New Roman" w:hAnsi="Times New Roman"/>
          <w:szCs w:val="20"/>
        </w:rPr>
      </w:pPr>
      <w:r>
        <w:rPr>
          <w:rFonts w:ascii="Times New Roman" w:eastAsia="Times New Roman" w:hAnsi="Times New Roman"/>
          <w:szCs w:val="20"/>
        </w:rPr>
        <w:t>Motores de compuerta: acción [</w:t>
      </w:r>
      <w:r>
        <w:rPr>
          <w:rFonts w:ascii="Times New Roman" w:eastAsia="Times New Roman" w:hAnsi="Times New Roman"/>
          <w:b/>
          <w:szCs w:val="20"/>
        </w:rPr>
        <w:t>proporcional</w:t>
      </w:r>
      <w:r>
        <w:rPr>
          <w:rFonts w:ascii="Times New Roman" w:eastAsia="Times New Roman" w:hAnsi="Times New Roman"/>
          <w:szCs w:val="20"/>
        </w:rPr>
        <w:t>] [</w:t>
      </w:r>
      <w:r>
        <w:rPr>
          <w:rFonts w:ascii="Times New Roman" w:eastAsia="Times New Roman" w:hAnsi="Times New Roman"/>
          <w:b/>
          <w:szCs w:val="20"/>
        </w:rPr>
        <w:t>o</w:t>
      </w:r>
      <w:r>
        <w:rPr>
          <w:rFonts w:ascii="Times New Roman" w:eastAsia="Times New Roman" w:hAnsi="Times New Roman"/>
          <w:szCs w:val="20"/>
        </w:rPr>
        <w:t>] [</w:t>
      </w:r>
      <w:r>
        <w:rPr>
          <w:rFonts w:ascii="Times New Roman" w:eastAsia="Times New Roman" w:hAnsi="Times New Roman"/>
          <w:b/>
          <w:szCs w:val="20"/>
        </w:rPr>
        <w:t>dos posiciones</w:t>
      </w:r>
      <w:r>
        <w:rPr>
          <w:rFonts w:ascii="Times New Roman" w:eastAsia="Times New Roman" w:hAnsi="Times New Roman"/>
          <w:szCs w:val="20"/>
        </w:rPr>
        <w:t xml:space="preserve">].  </w:t>
      </w:r>
    </w:p>
    <w:p w14:paraId="746321E0" w14:textId="77777777" w:rsidR="00BC2914" w:rsidRDefault="00BC2914" w:rsidP="00BC2914">
      <w:pPr>
        <w:numPr>
          <w:ilvl w:val="5"/>
          <w:numId w:val="3"/>
        </w:numPr>
        <w:tabs>
          <w:tab w:val="left" w:pos="1440"/>
        </w:tabs>
        <w:suppressAutoHyphens/>
        <w:spacing w:before="240" w:after="0" w:line="240" w:lineRule="auto"/>
        <w:jc w:val="both"/>
        <w:outlineLvl w:val="3"/>
        <w:rPr>
          <w:rFonts w:ascii="Times New Roman" w:eastAsia="Times New Roman" w:hAnsi="Times New Roman"/>
          <w:szCs w:val="20"/>
        </w:rPr>
      </w:pPr>
      <w:r>
        <w:rPr>
          <w:rFonts w:ascii="Times New Roman" w:eastAsia="Times New Roman" w:hAnsi="Times New Roman"/>
          <w:szCs w:val="20"/>
        </w:rPr>
        <w:t>Fabricación, etiquetado o distribución realizada por Belimo.</w:t>
      </w:r>
    </w:p>
    <w:p w14:paraId="1A17739B" w14:textId="77777777" w:rsidR="00DB6C19" w:rsidRPr="00FB525F" w:rsidRDefault="00DB6C19" w:rsidP="00FB525F">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 xml:space="preserve">Voltaje: los actuadores de dos posiciones deben ser de </w:t>
      </w:r>
      <w:r>
        <w:rPr>
          <w:rFonts w:ascii="Times New Roman" w:eastAsia="Times New Roman" w:hAnsi="Times New Roman"/>
          <w:b/>
          <w:szCs w:val="20"/>
        </w:rPr>
        <w:t>[24 VAC] [120 VAC]</w:t>
      </w:r>
      <w:r>
        <w:rPr>
          <w:rFonts w:ascii="Times New Roman" w:eastAsia="Times New Roman" w:hAnsi="Times New Roman"/>
          <w:szCs w:val="20"/>
        </w:rPr>
        <w:t>.  Los actuadores proporcionales deben ser de 24 VCA.</w:t>
      </w:r>
    </w:p>
    <w:p w14:paraId="10BAC413" w14:textId="77777777" w:rsidR="00FB525F" w:rsidRPr="00FB525F" w:rsidRDefault="00234EFE" w:rsidP="00234EFE">
      <w:pPr>
        <w:pStyle w:val="PR2"/>
        <w:rPr>
          <w:b/>
        </w:rPr>
      </w:pPr>
      <w:r>
        <w:t xml:space="preserve">Homologaciones por agencias:  </w:t>
      </w:r>
    </w:p>
    <w:p w14:paraId="6800BA4F" w14:textId="77777777" w:rsidR="003B59ED" w:rsidRDefault="00234EFE" w:rsidP="00FB525F">
      <w:pPr>
        <w:pStyle w:val="PR3"/>
      </w:pPr>
      <w:r>
        <w:t xml:space="preserve">UL 873 o UL 60730, UL 2043, ISO 9001.  </w:t>
      </w:r>
    </w:p>
    <w:p w14:paraId="7EF84562" w14:textId="04282160" w:rsidR="00FB525F" w:rsidRDefault="00FB525F" w:rsidP="00FB525F">
      <w:pPr>
        <w:pStyle w:val="PR3"/>
        <w:rPr>
          <w:b/>
        </w:rPr>
      </w:pPr>
      <w:r>
        <w:rPr>
          <w:b/>
        </w:rPr>
        <w:t xml:space="preserve">[&lt;Oficina de Certificación Técnica e Investigación de Nueva York&gt; &lt;norma local&gt; cuando se requiera.]  </w:t>
      </w:r>
    </w:p>
    <w:p w14:paraId="158AB4E5" w14:textId="77777777" w:rsidR="00243432" w:rsidRDefault="00BC2914" w:rsidP="00B51D37">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Los actuadores de compuerta de nueva construcción deben ser proporcionados por el fabricante de la compuerta</w:t>
      </w:r>
    </w:p>
    <w:p w14:paraId="054A6513" w14:textId="05663549" w:rsidR="0017228A" w:rsidRDefault="00BC2914" w:rsidP="00243432">
      <w:pPr>
        <w:tabs>
          <w:tab w:val="left" w:pos="1440"/>
        </w:tabs>
        <w:suppressAutoHyphens/>
        <w:spacing w:after="0" w:line="240" w:lineRule="auto"/>
        <w:ind w:left="1440"/>
        <w:jc w:val="both"/>
        <w:outlineLvl w:val="3"/>
        <w:rPr>
          <w:rFonts w:ascii="Times New Roman" w:eastAsia="Times New Roman" w:hAnsi="Times New Roman"/>
          <w:szCs w:val="20"/>
        </w:rPr>
      </w:pPr>
      <w:r>
        <w:rPr>
          <w:rFonts w:ascii="Times New Roman" w:eastAsia="Times New Roman" w:hAnsi="Times New Roman"/>
          <w:szCs w:val="20"/>
        </w:rPr>
        <w:t xml:space="preserve">conforme a los requisitos de UL 555S.  </w:t>
      </w:r>
    </w:p>
    <w:p w14:paraId="12144001" w14:textId="77777777" w:rsidR="00BC2914" w:rsidRPr="0017228A" w:rsidRDefault="00BC2914" w:rsidP="00B51D37">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Acoplamiento: abrazadera con tornillo en V y tuerca doble con horquilla dentada en V.  No se aceptan abrazaderas o tornillos de fijación de aluminio.</w:t>
      </w:r>
    </w:p>
    <w:p w14:paraId="2DE81F63" w14:textId="77777777" w:rsidR="00FB525F" w:rsidRDefault="00BC2914" w:rsidP="00423123">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Protección contra sobrecargas: microprocesador o controlador con motor electrónico que provea protección contra abrasamiento en caso de que se produzca una parada antes de alcanzarse la rotación completa.  El actuador debe cerrarse electrónicamente en posición totalmente abierta para eliminar la generación de ruidos.</w:t>
      </w:r>
    </w:p>
    <w:p w14:paraId="3D08D535" w14:textId="77777777" w:rsidR="00BC2914" w:rsidRPr="00FB525F" w:rsidRDefault="00BC2914" w:rsidP="00423123">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Rango de temperaturas: el actuador debe tener homologaciones UL 555S del fabricante de la compuerta para [</w:t>
      </w:r>
      <w:r>
        <w:rPr>
          <w:rFonts w:ascii="Times New Roman" w:eastAsia="Times New Roman" w:hAnsi="Times New Roman"/>
          <w:b/>
          <w:color w:val="FF0000"/>
          <w:szCs w:val="20"/>
        </w:rPr>
        <w:t>250 ºF</w:t>
      </w:r>
      <w:r>
        <w:rPr>
          <w:rFonts w:ascii="Times New Roman" w:eastAsia="Times New Roman" w:hAnsi="Times New Roman"/>
          <w:b/>
          <w:color w:val="008080"/>
          <w:szCs w:val="20"/>
        </w:rPr>
        <w:t xml:space="preserve"> (121 ºC)</w:t>
      </w:r>
      <w:r>
        <w:rPr>
          <w:rFonts w:ascii="Times New Roman" w:eastAsia="Times New Roman" w:hAnsi="Times New Roman"/>
          <w:szCs w:val="20"/>
        </w:rPr>
        <w:t>] [</w:t>
      </w:r>
      <w:r>
        <w:rPr>
          <w:rFonts w:ascii="Times New Roman" w:eastAsia="Times New Roman" w:hAnsi="Times New Roman"/>
          <w:b/>
          <w:color w:val="FF0000"/>
          <w:szCs w:val="20"/>
        </w:rPr>
        <w:t>350 ºF</w:t>
      </w:r>
      <w:r>
        <w:rPr>
          <w:rFonts w:ascii="Times New Roman" w:eastAsia="Times New Roman" w:hAnsi="Times New Roman"/>
          <w:b/>
          <w:color w:val="008080"/>
          <w:szCs w:val="20"/>
        </w:rPr>
        <w:t xml:space="preserve"> (176 ºC)</w:t>
      </w:r>
      <w:r>
        <w:rPr>
          <w:rFonts w:ascii="Times New Roman" w:eastAsia="Times New Roman" w:hAnsi="Times New Roman"/>
          <w:szCs w:val="20"/>
        </w:rPr>
        <w:t>].</w:t>
      </w:r>
    </w:p>
    <w:p w14:paraId="16E82D98" w14:textId="23346E66" w:rsidR="00BC2914" w:rsidRDefault="00BC2914" w:rsidP="00BC2914">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Los actuadores de compuertas proporcionales para la protección de humos deben cumplir todos los requisitos anteriormente especificados y deben modular de un 0 a un 100% de apertura en respuesta a una señal de control de 2-10 V DC.   Debe haber disponible una salida de retroalimentación de 2-10 vcc para indicación de posición. Se debe suministrar un control manual a cuerda y un mecanismo de bloqueo para el funcionamiento en caso de pérdida de energía.</w:t>
      </w:r>
    </w:p>
    <w:p w14:paraId="6429E3CD" w14:textId="77777777" w:rsidR="00BC2914" w:rsidRPr="0017228A" w:rsidRDefault="00BC2914" w:rsidP="000E68A7">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El fabricante debe proveer una garantía de cinco años para todos los componentes desde su fecha de producción y durante los dos primeros años sin condiciones.</w:t>
      </w:r>
    </w:p>
    <w:p w14:paraId="64E71C1F" w14:textId="490D26E9" w:rsidR="00BC2914" w:rsidRPr="002544AB" w:rsidRDefault="00BC2914" w:rsidP="002544AB">
      <w:pPr>
        <w:numPr>
          <w:ilvl w:val="4"/>
          <w:numId w:val="3"/>
        </w:numPr>
        <w:tabs>
          <w:tab w:val="left" w:pos="864"/>
        </w:tabs>
        <w:suppressAutoHyphens/>
        <w:spacing w:before="240" w:after="0" w:line="240" w:lineRule="auto"/>
        <w:jc w:val="both"/>
        <w:outlineLvl w:val="2"/>
        <w:rPr>
          <w:rFonts w:ascii="Times New Roman" w:eastAsia="Times New Roman" w:hAnsi="Times New Roman"/>
          <w:szCs w:val="20"/>
        </w:rPr>
      </w:pPr>
      <w:r>
        <w:rPr>
          <w:rFonts w:ascii="Times New Roman" w:eastAsia="Times New Roman" w:hAnsi="Times New Roman"/>
          <w:szCs w:val="20"/>
        </w:rPr>
        <w:t>Accesorios:</w:t>
      </w:r>
    </w:p>
    <w:p w14:paraId="112EC9AD" w14:textId="146CF40D" w:rsidR="00BC2914" w:rsidRPr="00824B54" w:rsidRDefault="00053433" w:rsidP="00BC2914">
      <w:pPr>
        <w:numPr>
          <w:ilvl w:val="5"/>
          <w:numId w:val="3"/>
        </w:numPr>
        <w:tabs>
          <w:tab w:val="left" w:pos="1440"/>
        </w:tabs>
        <w:suppressAutoHyphens/>
        <w:spacing w:before="240" w:after="0" w:line="240" w:lineRule="auto"/>
        <w:jc w:val="both"/>
        <w:outlineLvl w:val="3"/>
        <w:rPr>
          <w:rFonts w:ascii="Times New Roman" w:eastAsia="Times New Roman" w:hAnsi="Times New Roman"/>
          <w:dstrike/>
          <w:szCs w:val="20"/>
        </w:rPr>
      </w:pPr>
      <w:r>
        <w:rPr>
          <w:rFonts w:ascii="Times New Roman" w:eastAsia="Times New Roman" w:hAnsi="Times New Roman"/>
          <w:szCs w:val="20"/>
        </w:rPr>
        <w:t>Se deben proporcionar</w:t>
      </w:r>
      <w:r>
        <w:rPr>
          <w:rFonts w:ascii="Times New Roman" w:eastAsia="Times New Roman" w:hAnsi="Times New Roman"/>
          <w:b/>
          <w:bCs/>
          <w:szCs w:val="20"/>
        </w:rPr>
        <w:t xml:space="preserve"> [interruptores auxiliares integrales] [interruptores de aleta de compuerta] </w:t>
      </w:r>
      <w:r>
        <w:rPr>
          <w:rFonts w:ascii="Times New Roman" w:eastAsia="Times New Roman" w:hAnsi="Times New Roman"/>
          <w:szCs w:val="20"/>
        </w:rPr>
        <w:t xml:space="preserve">en todos los actuadores según sea necesario. </w:t>
      </w:r>
    </w:p>
    <w:p w14:paraId="0689716A" w14:textId="2D04C0D1" w:rsidR="0005043D" w:rsidRDefault="0005043D" w:rsidP="002544AB">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Prueba de los dispositivos</w:t>
      </w:r>
    </w:p>
    <w:p w14:paraId="4AFBA15A" w14:textId="0ED7E7DF" w:rsidR="00732C27" w:rsidRDefault="0005043D" w:rsidP="0005043D">
      <w:pPr>
        <w:pStyle w:val="PR3"/>
      </w:pPr>
      <w:r>
        <w:rPr>
          <w:b/>
          <w:bCs/>
        </w:rPr>
        <w:t>[Se debe montar un interruptor de prueba [momentáneo] [con llave] con luces indicadoras de posición abierta y cerrada [cuando se indique].</w:t>
      </w:r>
      <w:r>
        <w:t xml:space="preserve">  </w:t>
      </w:r>
    </w:p>
    <w:p w14:paraId="77E28659" w14:textId="23174461" w:rsidR="00053433" w:rsidRPr="0005043D" w:rsidRDefault="00A67DF9" w:rsidP="006D2F92">
      <w:pPr>
        <w:pStyle w:val="PR3"/>
        <w:rPr>
          <w:b/>
          <w:bCs/>
        </w:rPr>
      </w:pPr>
      <w:r>
        <w:rPr>
          <w:b/>
          <w:bCs/>
        </w:rPr>
        <w:t>[Debe proporcionarse un módulo de pruebas remotas BACnet para compuertas para iniciar la prueba mediante un único comando BACnet.  Los resultados, correcto o fallo, deberán comunicarse al controlador BACnet a través de comunicación de red BACnet MS/TP RS 485.  El módulo de pruebas remotas debe contar con homologación UL 60730.]</w:t>
      </w:r>
    </w:p>
    <w:p w14:paraId="3269D9AE" w14:textId="77777777" w:rsidR="00BC2914" w:rsidRPr="00BC2914" w:rsidRDefault="00BC2914" w:rsidP="00BC2914">
      <w:pPr>
        <w:keepNext/>
        <w:numPr>
          <w:ilvl w:val="3"/>
          <w:numId w:val="3"/>
        </w:numPr>
        <w:tabs>
          <w:tab w:val="left" w:pos="864"/>
        </w:tabs>
        <w:suppressAutoHyphens/>
        <w:spacing w:before="480" w:after="0" w:line="240" w:lineRule="auto"/>
        <w:jc w:val="both"/>
        <w:outlineLvl w:val="1"/>
        <w:rPr>
          <w:rFonts w:ascii="Times New Roman" w:eastAsia="Times New Roman" w:hAnsi="Times New Roman"/>
          <w:szCs w:val="20"/>
        </w:rPr>
      </w:pPr>
      <w:r>
        <w:rPr>
          <w:rFonts w:ascii="Times New Roman" w:eastAsia="Times New Roman" w:hAnsi="Times New Roman"/>
          <w:szCs w:val="20"/>
        </w:rPr>
        <w:lastRenderedPageBreak/>
        <w:t xml:space="preserve">COMBINACIÓN DE COMPUERTAS CONTRA INCENDIOS Y PARA LA PROTECCIÓN DE HUMOS </w:t>
      </w:r>
    </w:p>
    <w:p w14:paraId="21D0B5D7" w14:textId="77777777" w:rsidR="00732C27" w:rsidRPr="00BC2914" w:rsidRDefault="00732C27" w:rsidP="00732C27">
      <w:pPr>
        <w:numPr>
          <w:ilvl w:val="4"/>
          <w:numId w:val="3"/>
        </w:numPr>
        <w:tabs>
          <w:tab w:val="left" w:pos="864"/>
        </w:tabs>
        <w:suppressAutoHyphens/>
        <w:spacing w:before="240" w:after="0" w:line="240" w:lineRule="auto"/>
        <w:outlineLvl w:val="2"/>
        <w:rPr>
          <w:rFonts w:ascii="Times New Roman" w:eastAsia="Times New Roman" w:hAnsi="Times New Roman"/>
          <w:szCs w:val="20"/>
        </w:rPr>
      </w:pPr>
      <w:r>
        <w:rPr>
          <w:rFonts w:ascii="Times New Roman" w:eastAsia="Times New Roman" w:hAnsi="Times New Roman"/>
          <w:szCs w:val="20"/>
        </w:rPr>
        <w:t>Motores de compuerta: acción [</w:t>
      </w:r>
      <w:r>
        <w:rPr>
          <w:rFonts w:ascii="Times New Roman" w:eastAsia="Times New Roman" w:hAnsi="Times New Roman"/>
          <w:b/>
          <w:szCs w:val="20"/>
        </w:rPr>
        <w:t>proporcional</w:t>
      </w:r>
      <w:r>
        <w:rPr>
          <w:rFonts w:ascii="Times New Roman" w:eastAsia="Times New Roman" w:hAnsi="Times New Roman"/>
          <w:szCs w:val="20"/>
        </w:rPr>
        <w:t>] [</w:t>
      </w:r>
      <w:r>
        <w:rPr>
          <w:rFonts w:ascii="Times New Roman" w:eastAsia="Times New Roman" w:hAnsi="Times New Roman"/>
          <w:b/>
          <w:szCs w:val="20"/>
        </w:rPr>
        <w:t>o</w:t>
      </w:r>
      <w:r>
        <w:rPr>
          <w:rFonts w:ascii="Times New Roman" w:eastAsia="Times New Roman" w:hAnsi="Times New Roman"/>
          <w:szCs w:val="20"/>
        </w:rPr>
        <w:t>] [</w:t>
      </w:r>
      <w:r>
        <w:rPr>
          <w:rFonts w:ascii="Times New Roman" w:eastAsia="Times New Roman" w:hAnsi="Times New Roman"/>
          <w:b/>
          <w:szCs w:val="20"/>
        </w:rPr>
        <w:t>dos posiciones</w:t>
      </w:r>
      <w:r>
        <w:rPr>
          <w:rFonts w:ascii="Times New Roman" w:eastAsia="Times New Roman" w:hAnsi="Times New Roman"/>
          <w:szCs w:val="20"/>
        </w:rPr>
        <w:t xml:space="preserve">].  </w:t>
      </w:r>
    </w:p>
    <w:p w14:paraId="5EDCB379" w14:textId="77777777" w:rsidR="00732C27" w:rsidRDefault="00732C27" w:rsidP="00732C27">
      <w:pPr>
        <w:numPr>
          <w:ilvl w:val="5"/>
          <w:numId w:val="3"/>
        </w:numPr>
        <w:tabs>
          <w:tab w:val="left" w:pos="1440"/>
        </w:tabs>
        <w:suppressAutoHyphens/>
        <w:spacing w:before="240" w:after="0" w:line="240" w:lineRule="auto"/>
        <w:jc w:val="both"/>
        <w:outlineLvl w:val="3"/>
        <w:rPr>
          <w:rFonts w:ascii="Times New Roman" w:eastAsia="Times New Roman" w:hAnsi="Times New Roman"/>
          <w:szCs w:val="20"/>
        </w:rPr>
      </w:pPr>
      <w:r>
        <w:rPr>
          <w:rFonts w:ascii="Times New Roman" w:eastAsia="Times New Roman" w:hAnsi="Times New Roman"/>
          <w:szCs w:val="20"/>
        </w:rPr>
        <w:t>Fabricación, etiquetado o distribución realizada por Belimo.</w:t>
      </w:r>
    </w:p>
    <w:p w14:paraId="53DE15E7" w14:textId="77777777" w:rsidR="00732C27" w:rsidRDefault="00732C27" w:rsidP="00FB525F">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 xml:space="preserve">Voltaje: los actuadores de dos posiciones deben ser de </w:t>
      </w:r>
      <w:r>
        <w:rPr>
          <w:rFonts w:ascii="Times New Roman" w:eastAsia="Times New Roman" w:hAnsi="Times New Roman"/>
          <w:b/>
          <w:szCs w:val="20"/>
        </w:rPr>
        <w:t>[24 VAC] [120 VAC]</w:t>
      </w:r>
      <w:r>
        <w:rPr>
          <w:rFonts w:ascii="Times New Roman" w:eastAsia="Times New Roman" w:hAnsi="Times New Roman"/>
          <w:szCs w:val="20"/>
        </w:rPr>
        <w:t xml:space="preserve">.  Los actuadores proporcionales deben ser de 24 VCA.  </w:t>
      </w:r>
    </w:p>
    <w:p w14:paraId="09FB1CCF" w14:textId="77777777" w:rsidR="00FB525F" w:rsidRPr="00FB525F" w:rsidRDefault="00FB525F" w:rsidP="00FB525F">
      <w:pPr>
        <w:pStyle w:val="PR2"/>
        <w:rPr>
          <w:b/>
        </w:rPr>
      </w:pPr>
      <w:r>
        <w:t xml:space="preserve">Homologaciones por agencias:  </w:t>
      </w:r>
    </w:p>
    <w:p w14:paraId="018CD52B" w14:textId="77777777" w:rsidR="00FB525F" w:rsidRPr="00243432" w:rsidRDefault="00D407BA" w:rsidP="00243432">
      <w:pPr>
        <w:pStyle w:val="PR3"/>
      </w:pPr>
      <w:r>
        <w:t xml:space="preserve">UL 873 o UL 60730, UL 2043 ISO 9001.  </w:t>
      </w:r>
    </w:p>
    <w:p w14:paraId="12DA8D4B" w14:textId="1B6FA60C" w:rsidR="00FB525F" w:rsidRPr="00FB525F" w:rsidRDefault="00FB525F" w:rsidP="00FB525F">
      <w:pPr>
        <w:pStyle w:val="PR3"/>
        <w:rPr>
          <w:b/>
        </w:rPr>
      </w:pPr>
      <w:r>
        <w:rPr>
          <w:b/>
        </w:rPr>
        <w:t xml:space="preserve">[Con homologación de &lt;Oficina de Certificación Técnica e Investigación de Nueva York&gt; &lt;norma local&gt; cuando se requiera.]  </w:t>
      </w:r>
    </w:p>
    <w:p w14:paraId="656B3256" w14:textId="65409475" w:rsidR="00732C27" w:rsidRDefault="00732C27" w:rsidP="00732C27">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 xml:space="preserve">Los actuadores de compuerta de nueva construcción deben ser proporcionados por el fabricante de la compuerta conforme a los requisitos de UL 555 y UL 555S.  </w:t>
      </w:r>
    </w:p>
    <w:p w14:paraId="5C770C82" w14:textId="77777777" w:rsidR="00732C27" w:rsidRPr="0017228A" w:rsidRDefault="00732C27" w:rsidP="00732C27">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Acoplamiento: abrazadera con tornillo en V y tuerca doble con horquilla dentada en V.  No se aceptan abrazaderas o tornillos de fijación de aluminio.</w:t>
      </w:r>
    </w:p>
    <w:p w14:paraId="5E27B1BD" w14:textId="77777777" w:rsidR="00732C27" w:rsidRPr="00BC2914" w:rsidRDefault="00732C27" w:rsidP="00732C27">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Protección contra sobrecargas: microprocesador o controlador con motor electrónico que provea protección contra abrasamiento en caso de que se produzca una parada antes de alcanzarse la rotación completa.  El actuador debe cerrarse electrónicamente en posición totalmente abierta para eliminar la generación de ruidos.</w:t>
      </w:r>
    </w:p>
    <w:p w14:paraId="33DA89AF" w14:textId="77777777" w:rsidR="00732C27" w:rsidRPr="00BC2914" w:rsidRDefault="00732C27" w:rsidP="00732C27">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Rango de temperaturas: el actuador debe tener homologaciones UL 555S del fabricante de la compuerta para [</w:t>
      </w:r>
      <w:r>
        <w:rPr>
          <w:rFonts w:ascii="Times New Roman" w:eastAsia="Times New Roman" w:hAnsi="Times New Roman"/>
          <w:b/>
          <w:color w:val="FF0000"/>
          <w:szCs w:val="20"/>
        </w:rPr>
        <w:t>250 ºF</w:t>
      </w:r>
      <w:r>
        <w:rPr>
          <w:rFonts w:ascii="Times New Roman" w:eastAsia="Times New Roman" w:hAnsi="Times New Roman"/>
          <w:b/>
          <w:color w:val="008080"/>
          <w:szCs w:val="20"/>
        </w:rPr>
        <w:t xml:space="preserve"> (121 ºC)</w:t>
      </w:r>
      <w:r>
        <w:rPr>
          <w:rFonts w:ascii="Times New Roman" w:eastAsia="Times New Roman" w:hAnsi="Times New Roman"/>
          <w:szCs w:val="20"/>
        </w:rPr>
        <w:t>] [</w:t>
      </w:r>
      <w:r>
        <w:rPr>
          <w:rFonts w:ascii="Times New Roman" w:eastAsia="Times New Roman" w:hAnsi="Times New Roman"/>
          <w:b/>
          <w:color w:val="FF0000"/>
          <w:szCs w:val="20"/>
        </w:rPr>
        <w:t>350 ºF</w:t>
      </w:r>
      <w:r>
        <w:rPr>
          <w:rFonts w:ascii="Times New Roman" w:eastAsia="Times New Roman" w:hAnsi="Times New Roman"/>
          <w:b/>
          <w:color w:val="008080"/>
          <w:szCs w:val="20"/>
        </w:rPr>
        <w:t xml:space="preserve"> (176 ºC)</w:t>
      </w:r>
      <w:r>
        <w:rPr>
          <w:rFonts w:ascii="Times New Roman" w:eastAsia="Times New Roman" w:hAnsi="Times New Roman"/>
          <w:szCs w:val="20"/>
        </w:rPr>
        <w:t>].</w:t>
      </w:r>
    </w:p>
    <w:p w14:paraId="61E0D93C" w14:textId="798C28E3" w:rsidR="00732C27" w:rsidRDefault="00732C27" w:rsidP="00732C27">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Los actuadores de compuertas proporcionales para la protección de humos deben cumplir todos los requisitos anteriormente especificados y deben modular de un 0 a un 100% de apertura en respuesta a una señal de control de 2-10 V DC.   Debe haber disponible una salida de retroalimentación de 2-10 vcc para indicación de posición. Se debe suministrar un control manual a cuerda y un mecanismo de bloqueo para el funcionamiento en caso de pérdida de energía.</w:t>
      </w:r>
    </w:p>
    <w:p w14:paraId="09FACAC3" w14:textId="77777777" w:rsidR="00732C27" w:rsidRPr="0017228A" w:rsidRDefault="00732C27" w:rsidP="00732C27">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El fabricante debe proveer una garantía de cinco años para todos los componentes desde su fecha de producción y durante los dos primeros años sin condiciones.</w:t>
      </w:r>
    </w:p>
    <w:p w14:paraId="6449B7E6" w14:textId="77777777" w:rsidR="00732C27" w:rsidRPr="00BC2914" w:rsidRDefault="00732C27" w:rsidP="00732C27">
      <w:pPr>
        <w:numPr>
          <w:ilvl w:val="4"/>
          <w:numId w:val="3"/>
        </w:numPr>
        <w:tabs>
          <w:tab w:val="left" w:pos="864"/>
        </w:tabs>
        <w:suppressAutoHyphens/>
        <w:spacing w:before="240" w:after="0" w:line="240" w:lineRule="auto"/>
        <w:jc w:val="both"/>
        <w:outlineLvl w:val="2"/>
        <w:rPr>
          <w:rFonts w:ascii="Times New Roman" w:eastAsia="Times New Roman" w:hAnsi="Times New Roman"/>
          <w:szCs w:val="20"/>
        </w:rPr>
      </w:pPr>
      <w:r>
        <w:rPr>
          <w:rFonts w:ascii="Times New Roman" w:eastAsia="Times New Roman" w:hAnsi="Times New Roman"/>
          <w:szCs w:val="20"/>
        </w:rPr>
        <w:t>Accesorios:</w:t>
      </w:r>
    </w:p>
    <w:p w14:paraId="37E5E6FB" w14:textId="57899F16" w:rsidR="00732C27" w:rsidRDefault="00337E92" w:rsidP="00732C27">
      <w:pPr>
        <w:numPr>
          <w:ilvl w:val="5"/>
          <w:numId w:val="3"/>
        </w:numPr>
        <w:tabs>
          <w:tab w:val="left" w:pos="1440"/>
        </w:tabs>
        <w:suppressAutoHyphens/>
        <w:spacing w:before="240" w:after="0" w:line="240" w:lineRule="auto"/>
        <w:jc w:val="both"/>
        <w:outlineLvl w:val="3"/>
        <w:rPr>
          <w:rFonts w:ascii="Times New Roman" w:eastAsia="Times New Roman" w:hAnsi="Times New Roman"/>
          <w:szCs w:val="20"/>
        </w:rPr>
      </w:pPr>
      <w:r>
        <w:rPr>
          <w:rFonts w:ascii="Times New Roman" w:eastAsia="Times New Roman" w:hAnsi="Times New Roman"/>
          <w:szCs w:val="20"/>
        </w:rPr>
        <w:t>Se deben proporcionar</w:t>
      </w:r>
      <w:r>
        <w:rPr>
          <w:rFonts w:ascii="Times New Roman" w:eastAsia="Times New Roman" w:hAnsi="Times New Roman"/>
          <w:b/>
          <w:bCs/>
          <w:szCs w:val="20"/>
        </w:rPr>
        <w:t xml:space="preserve"> [interruptores auxiliares integrales] [interruptores de aleta de compuerta] </w:t>
      </w:r>
      <w:r>
        <w:rPr>
          <w:rFonts w:ascii="Times New Roman" w:eastAsia="Times New Roman" w:hAnsi="Times New Roman"/>
          <w:szCs w:val="20"/>
        </w:rPr>
        <w:t xml:space="preserve">en todos los actuadores según sea necesario.  </w:t>
      </w:r>
    </w:p>
    <w:p w14:paraId="0364898C" w14:textId="77777777" w:rsidR="006D2F92" w:rsidRDefault="006D2F92" w:rsidP="006D2F92">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Prueba de los dispositivos</w:t>
      </w:r>
    </w:p>
    <w:p w14:paraId="42FD6F24" w14:textId="6BDDCDAE" w:rsidR="006D2F92" w:rsidRDefault="006D2F92" w:rsidP="006D2F92">
      <w:pPr>
        <w:pStyle w:val="PR3"/>
      </w:pPr>
      <w:r>
        <w:rPr>
          <w:b/>
          <w:bCs/>
        </w:rPr>
        <w:t>[Se debe montar un interruptor de prueba [momentáneo] [con llave] con luces indicadoras de posición abierta y cerrada [cuando se indique].</w:t>
      </w:r>
      <w:r>
        <w:t xml:space="preserve">  </w:t>
      </w:r>
    </w:p>
    <w:p w14:paraId="0F9D8329" w14:textId="208DF5AE" w:rsidR="006D2F92" w:rsidRPr="0005043D" w:rsidRDefault="006D2F92" w:rsidP="006D2F92">
      <w:pPr>
        <w:pStyle w:val="PR3"/>
        <w:rPr>
          <w:b/>
          <w:bCs/>
        </w:rPr>
      </w:pPr>
      <w:r>
        <w:rPr>
          <w:b/>
          <w:bCs/>
        </w:rPr>
        <w:t>[Debe proporcionarse un módulo de pruebas remotas BACnet para compuertas para iniciar la prueba mediante un único comando BACnet.  Los resultados, correcto o fallo, deberán comunicarse al controlador BACnet a través de comunicación de red BACnet MS/TP RS 485.  El módulo de pruebas remotas debe contar con homologación UL 60730.]</w:t>
      </w:r>
    </w:p>
    <w:p w14:paraId="3511DA04" w14:textId="77777777" w:rsidR="00BC2914" w:rsidRPr="00BC2914" w:rsidRDefault="00BC2914" w:rsidP="00A67553">
      <w:pPr>
        <w:suppressAutoHyphens/>
        <w:spacing w:before="240" w:after="0" w:line="240" w:lineRule="auto"/>
        <w:rPr>
          <w:rFonts w:ascii="Times New Roman" w:eastAsia="Times New Roman" w:hAnsi="Times New Roman"/>
          <w:vanish/>
          <w:szCs w:val="20"/>
        </w:rPr>
      </w:pPr>
      <w:r w:rsidRPr="00BC2914">
        <w:rPr>
          <w:rFonts w:ascii="Times New Roman" w:eastAsia="Times New Roman" w:hAnsi="Times New Roman"/>
          <w:vanish/>
          <w:szCs w:val="20"/>
        </w:rPr>
        <w:t>Retain "Basis-of-Design Product" Paragraph and list of manufacturers below to identify a specific product or a comparable product from manufacturers listed. Retain option and delete insert note if manufacturer's name and model number are indicated on Drawings.</w:t>
      </w:r>
    </w:p>
    <w:sectPr w:rsidR="00BC2914" w:rsidRPr="00BC291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00858" w14:textId="77777777" w:rsidR="00914BCF" w:rsidRDefault="00914BCF" w:rsidP="0059760C">
      <w:pPr>
        <w:spacing w:after="0" w:line="240" w:lineRule="auto"/>
      </w:pPr>
      <w:r>
        <w:separator/>
      </w:r>
    </w:p>
  </w:endnote>
  <w:endnote w:type="continuationSeparator" w:id="0">
    <w:p w14:paraId="3E59CDD5" w14:textId="77777777" w:rsidR="00914BCF" w:rsidRDefault="00914BCF" w:rsidP="00597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C62F" w14:textId="74A1ECC8" w:rsidR="0059760C" w:rsidRDefault="00632904">
    <w:pPr>
      <w:pStyle w:val="Footer"/>
    </w:pPr>
    <w:r>
      <w:t>fuego / humo (04122024)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CA75D" w14:textId="77777777" w:rsidR="00914BCF" w:rsidRDefault="00914BCF" w:rsidP="0059760C">
      <w:pPr>
        <w:spacing w:after="0" w:line="240" w:lineRule="auto"/>
      </w:pPr>
      <w:r>
        <w:separator/>
      </w:r>
    </w:p>
  </w:footnote>
  <w:footnote w:type="continuationSeparator" w:id="0">
    <w:p w14:paraId="34872AD4" w14:textId="77777777" w:rsidR="00914BCF" w:rsidRDefault="00914BCF" w:rsidP="00597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473A7" w14:textId="2229CAEB" w:rsidR="009140D0" w:rsidRDefault="003F0AB5">
    <w:pPr>
      <w:pStyle w:val="Header"/>
    </w:pPr>
    <w:r>
      <w:rPr>
        <w:noProof/>
      </w:rPr>
      <w:drawing>
        <wp:anchor distT="0" distB="0" distL="114300" distR="114300" simplePos="0" relativeHeight="251657728" behindDoc="0" locked="0" layoutInCell="1" allowOverlap="1" wp14:anchorId="415A9F62" wp14:editId="67682A40">
          <wp:simplePos x="0" y="0"/>
          <wp:positionH relativeFrom="column">
            <wp:posOffset>4966335</wp:posOffset>
          </wp:positionH>
          <wp:positionV relativeFrom="paragraph">
            <wp:posOffset>-100330</wp:posOffset>
          </wp:positionV>
          <wp:extent cx="1371600" cy="5505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505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73A7AF6"/>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b w:val="0"/>
        <w:color w:val="auto"/>
      </w:rPr>
    </w:lvl>
    <w:lvl w:ilvl="5">
      <w:start w:val="1"/>
      <w:numFmt w:val="decimal"/>
      <w:pStyle w:val="PR2"/>
      <w:lvlText w:val="%6."/>
      <w:lvlJc w:val="left"/>
      <w:pPr>
        <w:tabs>
          <w:tab w:val="num" w:pos="1440"/>
        </w:tabs>
        <w:ind w:left="1440" w:hanging="576"/>
      </w:pPr>
      <w:rPr>
        <w:rFonts w:hint="default"/>
        <w:b w:val="0"/>
        <w:dstrike w:val="0"/>
      </w:rPr>
    </w:lvl>
    <w:lvl w:ilvl="6">
      <w:start w:val="1"/>
      <w:numFmt w:val="lowerLetter"/>
      <w:pStyle w:val="PR3"/>
      <w:lvlText w:val="%7."/>
      <w:lvlJc w:val="left"/>
      <w:pPr>
        <w:tabs>
          <w:tab w:val="num" w:pos="2016"/>
        </w:tabs>
        <w:ind w:left="2016" w:hanging="576"/>
      </w:pPr>
      <w:rPr>
        <w:rFonts w:hint="default"/>
        <w:b w:val="0"/>
        <w:color w:val="auto"/>
      </w:rPr>
    </w:lvl>
    <w:lvl w:ilvl="7">
      <w:start w:val="1"/>
      <w:numFmt w:val="decimal"/>
      <w:pStyle w:val="PR4"/>
      <w:lvlText w:val="%8)"/>
      <w:lvlJc w:val="left"/>
      <w:pPr>
        <w:tabs>
          <w:tab w:val="num" w:pos="2592"/>
        </w:tabs>
        <w:ind w:left="2592" w:hanging="576"/>
      </w:pPr>
      <w:rPr>
        <w:rFonts w:hint="default"/>
        <w:b w:val="0"/>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124C1C66"/>
    <w:multiLevelType w:val="multilevel"/>
    <w:tmpl w:val="5EFAFD1A"/>
    <w:lvl w:ilvl="0">
      <w:start w:val="3"/>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12B35BC"/>
    <w:multiLevelType w:val="multilevel"/>
    <w:tmpl w:val="700E5E5A"/>
    <w:lvl w:ilvl="0">
      <w:start w:val="2"/>
      <w:numFmt w:val="decimal"/>
      <w:lvlText w:val="%1"/>
      <w:lvlJc w:val="left"/>
      <w:pPr>
        <w:ind w:left="384" w:hanging="384"/>
      </w:pPr>
      <w:rPr>
        <w:rFonts w:hint="default"/>
      </w:rPr>
    </w:lvl>
    <w:lvl w:ilvl="1">
      <w:start w:val="1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6EB3EC7"/>
    <w:multiLevelType w:val="hybridMultilevel"/>
    <w:tmpl w:val="6DC23D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E02062"/>
    <w:multiLevelType w:val="multilevel"/>
    <w:tmpl w:val="0422E598"/>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5D6733D"/>
    <w:multiLevelType w:val="multilevel"/>
    <w:tmpl w:val="D2C6961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90A728B"/>
    <w:multiLevelType w:val="hybridMultilevel"/>
    <w:tmpl w:val="53C413B6"/>
    <w:lvl w:ilvl="0" w:tplc="853A6FAC">
      <w:start w:val="8"/>
      <w:numFmt w:val="upperLetter"/>
      <w:lvlText w:val="%1."/>
      <w:lvlJc w:val="left"/>
      <w:pPr>
        <w:tabs>
          <w:tab w:val="num" w:pos="1080"/>
        </w:tabs>
        <w:ind w:left="1080" w:hanging="360"/>
      </w:pPr>
      <w:rPr>
        <w:rFonts w:hint="default"/>
        <w:b w:val="0"/>
        <w:i w:val="0"/>
        <w:color w:val="auto"/>
        <w:szCs w:val="20"/>
      </w:rPr>
    </w:lvl>
    <w:lvl w:ilvl="1" w:tplc="C03E9D52">
      <w:start w:val="8"/>
      <w:numFmt w:val="decimal"/>
      <w:lvlText w:val="%2."/>
      <w:lvlJc w:val="left"/>
      <w:pPr>
        <w:tabs>
          <w:tab w:val="num" w:pos="1350"/>
        </w:tabs>
        <w:ind w:left="1350" w:hanging="360"/>
      </w:pPr>
      <w:rPr>
        <w:rFonts w:hint="default"/>
        <w:b w:val="0"/>
        <w:i w:val="0"/>
        <w:color w:val="auto"/>
        <w:szCs w:val="20"/>
      </w:rPr>
    </w:lvl>
    <w:lvl w:ilvl="2" w:tplc="C3F8A4F4">
      <w:start w:val="1"/>
      <w:numFmt w:val="lowerLetter"/>
      <w:lvlText w:val="%3."/>
      <w:lvlJc w:val="right"/>
      <w:pPr>
        <w:tabs>
          <w:tab w:val="num" w:pos="2160"/>
        </w:tabs>
        <w:ind w:left="2160" w:hanging="180"/>
      </w:pPr>
      <w:rPr>
        <w:rFonts w:hint="default"/>
        <w:b w:val="0"/>
        <w:i w:val="0"/>
        <w:color w:val="auto"/>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3091404">
    <w:abstractNumId w:val="0"/>
  </w:num>
  <w:num w:numId="2" w16cid:durableId="844442315">
    <w:abstractNumId w:val="3"/>
  </w:num>
  <w:num w:numId="3" w16cid:durableId="2016420967">
    <w:abstractNumId w:val="0"/>
  </w:num>
  <w:num w:numId="4" w16cid:durableId="93008895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10732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21775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6621588">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lvlText w:val="%5."/>
        <w:lvlJc w:val="left"/>
        <w:pPr>
          <w:tabs>
            <w:tab w:val="num" w:pos="864"/>
          </w:tabs>
          <w:ind w:left="864" w:hanging="576"/>
        </w:pPr>
        <w:rPr>
          <w:rFonts w:hint="default"/>
          <w:b w:val="0"/>
          <w:color w:val="auto"/>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8" w16cid:durableId="1052388429">
    <w:abstractNumId w:val="4"/>
  </w:num>
  <w:num w:numId="9" w16cid:durableId="34161033">
    <w:abstractNumId w:val="1"/>
  </w:num>
  <w:num w:numId="10" w16cid:durableId="1132137670">
    <w:abstractNumId w:val="6"/>
  </w:num>
  <w:num w:numId="11" w16cid:durableId="878053675">
    <w:abstractNumId w:val="5"/>
  </w:num>
  <w:num w:numId="12" w16cid:durableId="786700988">
    <w:abstractNumId w:val="2"/>
  </w:num>
  <w:num w:numId="13" w16cid:durableId="9582778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181179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805313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068916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64"/>
    <w:rsid w:val="00002D65"/>
    <w:rsid w:val="00025006"/>
    <w:rsid w:val="0005043D"/>
    <w:rsid w:val="00052662"/>
    <w:rsid w:val="00053433"/>
    <w:rsid w:val="000741EF"/>
    <w:rsid w:val="0008193A"/>
    <w:rsid w:val="000A0573"/>
    <w:rsid w:val="000A7C91"/>
    <w:rsid w:val="000E043A"/>
    <w:rsid w:val="000E68A7"/>
    <w:rsid w:val="00117CF6"/>
    <w:rsid w:val="00141753"/>
    <w:rsid w:val="00150F9F"/>
    <w:rsid w:val="0017228A"/>
    <w:rsid w:val="00187842"/>
    <w:rsid w:val="0019270A"/>
    <w:rsid w:val="001A086A"/>
    <w:rsid w:val="001B557A"/>
    <w:rsid w:val="001C7631"/>
    <w:rsid w:val="001D62EF"/>
    <w:rsid w:val="001F5720"/>
    <w:rsid w:val="001F6096"/>
    <w:rsid w:val="001F620D"/>
    <w:rsid w:val="001F6E2D"/>
    <w:rsid w:val="00206FB6"/>
    <w:rsid w:val="0020748D"/>
    <w:rsid w:val="00234EFE"/>
    <w:rsid w:val="00243432"/>
    <w:rsid w:val="002544AB"/>
    <w:rsid w:val="0026148A"/>
    <w:rsid w:val="00264AAE"/>
    <w:rsid w:val="002658C9"/>
    <w:rsid w:val="002714E1"/>
    <w:rsid w:val="0028072D"/>
    <w:rsid w:val="002827D0"/>
    <w:rsid w:val="002D0CE3"/>
    <w:rsid w:val="002D5699"/>
    <w:rsid w:val="002E1D00"/>
    <w:rsid w:val="002F0C42"/>
    <w:rsid w:val="002F3A27"/>
    <w:rsid w:val="0032484F"/>
    <w:rsid w:val="00337E92"/>
    <w:rsid w:val="00341C3F"/>
    <w:rsid w:val="003465D2"/>
    <w:rsid w:val="00370616"/>
    <w:rsid w:val="00374C4B"/>
    <w:rsid w:val="00390BAB"/>
    <w:rsid w:val="003A7269"/>
    <w:rsid w:val="003B0D10"/>
    <w:rsid w:val="003B1FED"/>
    <w:rsid w:val="003B59ED"/>
    <w:rsid w:val="003E5AA4"/>
    <w:rsid w:val="003F0AB5"/>
    <w:rsid w:val="00406DEB"/>
    <w:rsid w:val="00411600"/>
    <w:rsid w:val="00421DF6"/>
    <w:rsid w:val="00423123"/>
    <w:rsid w:val="0044289A"/>
    <w:rsid w:val="00465811"/>
    <w:rsid w:val="00466848"/>
    <w:rsid w:val="0047629E"/>
    <w:rsid w:val="004821E7"/>
    <w:rsid w:val="00487B7F"/>
    <w:rsid w:val="00495087"/>
    <w:rsid w:val="004C068F"/>
    <w:rsid w:val="004F3094"/>
    <w:rsid w:val="0053443E"/>
    <w:rsid w:val="00536298"/>
    <w:rsid w:val="00560ABC"/>
    <w:rsid w:val="00590A08"/>
    <w:rsid w:val="0059760C"/>
    <w:rsid w:val="005A7700"/>
    <w:rsid w:val="005B180F"/>
    <w:rsid w:val="0062062F"/>
    <w:rsid w:val="00632904"/>
    <w:rsid w:val="00653E77"/>
    <w:rsid w:val="00695A6A"/>
    <w:rsid w:val="006A12D5"/>
    <w:rsid w:val="006C0E07"/>
    <w:rsid w:val="006D066B"/>
    <w:rsid w:val="006D2F92"/>
    <w:rsid w:val="00707BD0"/>
    <w:rsid w:val="00732928"/>
    <w:rsid w:val="00732C27"/>
    <w:rsid w:val="00735B98"/>
    <w:rsid w:val="00736C14"/>
    <w:rsid w:val="00744028"/>
    <w:rsid w:val="00750D51"/>
    <w:rsid w:val="00774A66"/>
    <w:rsid w:val="00814AEA"/>
    <w:rsid w:val="00824B54"/>
    <w:rsid w:val="0083254A"/>
    <w:rsid w:val="00836FBF"/>
    <w:rsid w:val="00847374"/>
    <w:rsid w:val="00850BE4"/>
    <w:rsid w:val="00851BC6"/>
    <w:rsid w:val="0086562E"/>
    <w:rsid w:val="0088773B"/>
    <w:rsid w:val="00887EAD"/>
    <w:rsid w:val="008A25BB"/>
    <w:rsid w:val="008B2978"/>
    <w:rsid w:val="008B2DCE"/>
    <w:rsid w:val="008B4DFB"/>
    <w:rsid w:val="008B746C"/>
    <w:rsid w:val="008F2FD4"/>
    <w:rsid w:val="00906571"/>
    <w:rsid w:val="009140D0"/>
    <w:rsid w:val="00914BCF"/>
    <w:rsid w:val="009308E6"/>
    <w:rsid w:val="009449CA"/>
    <w:rsid w:val="00951292"/>
    <w:rsid w:val="0096012F"/>
    <w:rsid w:val="00962252"/>
    <w:rsid w:val="009670B5"/>
    <w:rsid w:val="00990191"/>
    <w:rsid w:val="009B4B00"/>
    <w:rsid w:val="009C1CFC"/>
    <w:rsid w:val="009D5A0E"/>
    <w:rsid w:val="009E7818"/>
    <w:rsid w:val="009F3889"/>
    <w:rsid w:val="00A203CE"/>
    <w:rsid w:val="00A33AAC"/>
    <w:rsid w:val="00A67553"/>
    <w:rsid w:val="00A67DF9"/>
    <w:rsid w:val="00A90369"/>
    <w:rsid w:val="00AA36EB"/>
    <w:rsid w:val="00AD5515"/>
    <w:rsid w:val="00AE57DC"/>
    <w:rsid w:val="00B0031C"/>
    <w:rsid w:val="00B04621"/>
    <w:rsid w:val="00B51D37"/>
    <w:rsid w:val="00B73816"/>
    <w:rsid w:val="00B76B12"/>
    <w:rsid w:val="00B87807"/>
    <w:rsid w:val="00B93BE3"/>
    <w:rsid w:val="00BC2914"/>
    <w:rsid w:val="00BD47CC"/>
    <w:rsid w:val="00C02916"/>
    <w:rsid w:val="00C42E99"/>
    <w:rsid w:val="00C50FD5"/>
    <w:rsid w:val="00C75A8D"/>
    <w:rsid w:val="00C92960"/>
    <w:rsid w:val="00CB7169"/>
    <w:rsid w:val="00CC71EF"/>
    <w:rsid w:val="00CE4591"/>
    <w:rsid w:val="00CF3E48"/>
    <w:rsid w:val="00D17084"/>
    <w:rsid w:val="00D24439"/>
    <w:rsid w:val="00D26D7C"/>
    <w:rsid w:val="00D407BA"/>
    <w:rsid w:val="00D56ABE"/>
    <w:rsid w:val="00DA529F"/>
    <w:rsid w:val="00DB6C19"/>
    <w:rsid w:val="00DC7E28"/>
    <w:rsid w:val="00DF11E2"/>
    <w:rsid w:val="00E21C60"/>
    <w:rsid w:val="00E24766"/>
    <w:rsid w:val="00E9052B"/>
    <w:rsid w:val="00E90864"/>
    <w:rsid w:val="00EA2BC4"/>
    <w:rsid w:val="00EB3CA1"/>
    <w:rsid w:val="00EC3047"/>
    <w:rsid w:val="00EC492D"/>
    <w:rsid w:val="00EF6D9F"/>
    <w:rsid w:val="00F10ED8"/>
    <w:rsid w:val="00F25546"/>
    <w:rsid w:val="00F34B5A"/>
    <w:rsid w:val="00F42E3E"/>
    <w:rsid w:val="00F4502A"/>
    <w:rsid w:val="00F649C5"/>
    <w:rsid w:val="00F929C2"/>
    <w:rsid w:val="00FA2171"/>
    <w:rsid w:val="00FB525F"/>
    <w:rsid w:val="00FB7D33"/>
    <w:rsid w:val="00FE0593"/>
    <w:rsid w:val="00FE3C6D"/>
    <w:rsid w:val="00FF2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ED91A"/>
  <w15:chartTrackingRefBased/>
  <w15:docId w15:val="{ABDF6FB9-E15F-4CC1-9B66-CBB296DC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E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T">
    <w:name w:val="PRT"/>
    <w:basedOn w:val="Normal"/>
    <w:next w:val="ART"/>
    <w:rsid w:val="00E90864"/>
    <w:pPr>
      <w:keepNext/>
      <w:numPr>
        <w:numId w:val="3"/>
      </w:numPr>
      <w:suppressAutoHyphens/>
      <w:spacing w:before="480" w:after="0" w:line="240" w:lineRule="auto"/>
      <w:jc w:val="both"/>
      <w:outlineLvl w:val="0"/>
    </w:pPr>
    <w:rPr>
      <w:rFonts w:ascii="Times New Roman" w:eastAsia="Times New Roman" w:hAnsi="Times New Roman"/>
      <w:szCs w:val="20"/>
    </w:rPr>
  </w:style>
  <w:style w:type="paragraph" w:customStyle="1" w:styleId="SUT">
    <w:name w:val="SUT"/>
    <w:basedOn w:val="Normal"/>
    <w:next w:val="PR1"/>
    <w:rsid w:val="00E90864"/>
    <w:pPr>
      <w:numPr>
        <w:ilvl w:val="1"/>
        <w:numId w:val="3"/>
      </w:numPr>
      <w:suppressAutoHyphens/>
      <w:spacing w:before="240" w:after="0" w:line="240" w:lineRule="auto"/>
      <w:jc w:val="both"/>
      <w:outlineLvl w:val="0"/>
    </w:pPr>
    <w:rPr>
      <w:rFonts w:ascii="Times New Roman" w:eastAsia="Times New Roman" w:hAnsi="Times New Roman"/>
      <w:szCs w:val="20"/>
    </w:rPr>
  </w:style>
  <w:style w:type="paragraph" w:customStyle="1" w:styleId="DST">
    <w:name w:val="DST"/>
    <w:basedOn w:val="Normal"/>
    <w:next w:val="PR1"/>
    <w:rsid w:val="00E90864"/>
    <w:pPr>
      <w:numPr>
        <w:ilvl w:val="2"/>
        <w:numId w:val="3"/>
      </w:numPr>
      <w:suppressAutoHyphens/>
      <w:spacing w:before="240" w:after="0" w:line="240" w:lineRule="auto"/>
      <w:jc w:val="both"/>
      <w:outlineLvl w:val="0"/>
    </w:pPr>
    <w:rPr>
      <w:rFonts w:ascii="Times New Roman" w:eastAsia="Times New Roman" w:hAnsi="Times New Roman"/>
      <w:szCs w:val="20"/>
    </w:rPr>
  </w:style>
  <w:style w:type="paragraph" w:customStyle="1" w:styleId="ART">
    <w:name w:val="ART"/>
    <w:basedOn w:val="Normal"/>
    <w:next w:val="PR1"/>
    <w:rsid w:val="00E90864"/>
    <w:pPr>
      <w:keepNext/>
      <w:numPr>
        <w:ilvl w:val="3"/>
        <w:numId w:val="3"/>
      </w:numPr>
      <w:suppressAutoHyphens/>
      <w:spacing w:before="480" w:after="0" w:line="240" w:lineRule="auto"/>
      <w:jc w:val="both"/>
      <w:outlineLvl w:val="1"/>
    </w:pPr>
    <w:rPr>
      <w:rFonts w:ascii="Times New Roman" w:eastAsia="Times New Roman" w:hAnsi="Times New Roman"/>
      <w:szCs w:val="20"/>
    </w:rPr>
  </w:style>
  <w:style w:type="paragraph" w:customStyle="1" w:styleId="PR1">
    <w:name w:val="PR1"/>
    <w:basedOn w:val="Normal"/>
    <w:rsid w:val="00E90864"/>
    <w:pPr>
      <w:suppressAutoHyphens/>
      <w:spacing w:before="240" w:after="0" w:line="240" w:lineRule="auto"/>
      <w:jc w:val="both"/>
      <w:outlineLvl w:val="2"/>
    </w:pPr>
    <w:rPr>
      <w:rFonts w:ascii="Times New Roman" w:eastAsia="Times New Roman" w:hAnsi="Times New Roman"/>
      <w:szCs w:val="20"/>
    </w:rPr>
  </w:style>
  <w:style w:type="paragraph" w:customStyle="1" w:styleId="PR2">
    <w:name w:val="PR2"/>
    <w:basedOn w:val="Normal"/>
    <w:rsid w:val="00E90864"/>
    <w:pPr>
      <w:numPr>
        <w:ilvl w:val="5"/>
        <w:numId w:val="3"/>
      </w:numPr>
      <w:suppressAutoHyphens/>
      <w:spacing w:after="0" w:line="240" w:lineRule="auto"/>
      <w:jc w:val="both"/>
      <w:outlineLvl w:val="3"/>
    </w:pPr>
    <w:rPr>
      <w:rFonts w:ascii="Times New Roman" w:eastAsia="Times New Roman" w:hAnsi="Times New Roman"/>
      <w:szCs w:val="20"/>
    </w:rPr>
  </w:style>
  <w:style w:type="paragraph" w:customStyle="1" w:styleId="PR3">
    <w:name w:val="PR3"/>
    <w:basedOn w:val="Normal"/>
    <w:rsid w:val="00E90864"/>
    <w:pPr>
      <w:numPr>
        <w:ilvl w:val="6"/>
        <w:numId w:val="3"/>
      </w:numPr>
      <w:suppressAutoHyphens/>
      <w:spacing w:after="0" w:line="240" w:lineRule="auto"/>
      <w:jc w:val="both"/>
      <w:outlineLvl w:val="4"/>
    </w:pPr>
    <w:rPr>
      <w:rFonts w:ascii="Times New Roman" w:eastAsia="Times New Roman" w:hAnsi="Times New Roman"/>
      <w:szCs w:val="20"/>
    </w:rPr>
  </w:style>
  <w:style w:type="paragraph" w:customStyle="1" w:styleId="PR4">
    <w:name w:val="PR4"/>
    <w:basedOn w:val="Normal"/>
    <w:rsid w:val="00E90864"/>
    <w:pPr>
      <w:numPr>
        <w:ilvl w:val="7"/>
        <w:numId w:val="3"/>
      </w:numPr>
      <w:suppressAutoHyphens/>
      <w:spacing w:after="0" w:line="240" w:lineRule="auto"/>
      <w:jc w:val="both"/>
      <w:outlineLvl w:val="5"/>
    </w:pPr>
    <w:rPr>
      <w:rFonts w:ascii="Times New Roman" w:eastAsia="Times New Roman" w:hAnsi="Times New Roman"/>
      <w:szCs w:val="20"/>
    </w:rPr>
  </w:style>
  <w:style w:type="paragraph" w:customStyle="1" w:styleId="PR5">
    <w:name w:val="PR5"/>
    <w:basedOn w:val="Normal"/>
    <w:rsid w:val="00E90864"/>
    <w:pPr>
      <w:numPr>
        <w:ilvl w:val="8"/>
        <w:numId w:val="3"/>
      </w:numPr>
      <w:suppressAutoHyphens/>
      <w:spacing w:after="0" w:line="240" w:lineRule="auto"/>
      <w:jc w:val="both"/>
      <w:outlineLvl w:val="6"/>
    </w:pPr>
    <w:rPr>
      <w:rFonts w:ascii="Times New Roman" w:eastAsia="Times New Roman" w:hAnsi="Times New Roman"/>
      <w:szCs w:val="20"/>
    </w:rPr>
  </w:style>
  <w:style w:type="paragraph" w:customStyle="1" w:styleId="CMT">
    <w:name w:val="CMT"/>
    <w:basedOn w:val="Normal"/>
    <w:link w:val="CMTChar"/>
    <w:rsid w:val="00E90864"/>
    <w:pPr>
      <w:suppressAutoHyphens/>
      <w:spacing w:before="240" w:after="0" w:line="240" w:lineRule="auto"/>
      <w:jc w:val="both"/>
    </w:pPr>
    <w:rPr>
      <w:rFonts w:ascii="Times New Roman" w:eastAsia="Times New Roman" w:hAnsi="Times New Roman"/>
      <w:vanish/>
      <w:color w:val="0000FF"/>
      <w:szCs w:val="20"/>
    </w:rPr>
  </w:style>
  <w:style w:type="character" w:customStyle="1" w:styleId="SI">
    <w:name w:val="SI"/>
    <w:rsid w:val="00E90864"/>
    <w:rPr>
      <w:color w:val="008080"/>
    </w:rPr>
  </w:style>
  <w:style w:type="character" w:customStyle="1" w:styleId="IP">
    <w:name w:val="IP"/>
    <w:rsid w:val="00E90864"/>
    <w:rPr>
      <w:color w:val="FF0000"/>
    </w:rPr>
  </w:style>
  <w:style w:type="character" w:customStyle="1" w:styleId="CMTChar">
    <w:name w:val="CMT Char"/>
    <w:link w:val="CMT"/>
    <w:rsid w:val="00E90864"/>
    <w:rPr>
      <w:rFonts w:ascii="Times New Roman" w:eastAsia="Times New Roman" w:hAnsi="Times New Roman" w:cs="Times New Roman"/>
      <w:vanish/>
      <w:color w:val="0000FF"/>
      <w:szCs w:val="20"/>
    </w:rPr>
  </w:style>
  <w:style w:type="paragraph" w:styleId="ListParagraph">
    <w:name w:val="List Paragraph"/>
    <w:basedOn w:val="Normal"/>
    <w:uiPriority w:val="34"/>
    <w:qFormat/>
    <w:rsid w:val="00E90864"/>
    <w:pPr>
      <w:ind w:left="720"/>
      <w:contextualSpacing/>
    </w:pPr>
  </w:style>
  <w:style w:type="character" w:customStyle="1" w:styleId="SAhyperlink">
    <w:name w:val="SAhyperlink"/>
    <w:uiPriority w:val="1"/>
    <w:qFormat/>
    <w:rsid w:val="00D26D7C"/>
    <w:rPr>
      <w:color w:val="E36C0A"/>
      <w:u w:val="single"/>
    </w:rPr>
  </w:style>
  <w:style w:type="paragraph" w:customStyle="1" w:styleId="SCT">
    <w:name w:val="SCT"/>
    <w:basedOn w:val="Normal"/>
    <w:next w:val="PRT"/>
    <w:rsid w:val="00BC2914"/>
    <w:pPr>
      <w:suppressAutoHyphens/>
      <w:spacing w:before="240" w:after="0" w:line="240" w:lineRule="auto"/>
      <w:jc w:val="both"/>
    </w:pPr>
    <w:rPr>
      <w:rFonts w:ascii="Times New Roman" w:eastAsia="Times New Roman" w:hAnsi="Times New Roman"/>
      <w:szCs w:val="20"/>
    </w:rPr>
  </w:style>
  <w:style w:type="character" w:customStyle="1" w:styleId="NUM">
    <w:name w:val="NUM"/>
    <w:rsid w:val="00BC2914"/>
    <w:rPr>
      <w:rFonts w:ascii="Calibri" w:hAnsi="Calibri"/>
    </w:rPr>
  </w:style>
  <w:style w:type="character" w:customStyle="1" w:styleId="NAM">
    <w:name w:val="NAM"/>
    <w:rsid w:val="00BC2914"/>
    <w:rPr>
      <w:rFonts w:ascii="Calibri" w:hAnsi="Calibri"/>
    </w:rPr>
  </w:style>
  <w:style w:type="paragraph" w:styleId="Header">
    <w:name w:val="header"/>
    <w:basedOn w:val="Normal"/>
    <w:link w:val="HeaderChar"/>
    <w:rsid w:val="00BC2914"/>
    <w:pPr>
      <w:tabs>
        <w:tab w:val="center" w:pos="4320"/>
        <w:tab w:val="right" w:pos="8640"/>
      </w:tabs>
      <w:spacing w:after="0" w:line="240" w:lineRule="auto"/>
    </w:pPr>
    <w:rPr>
      <w:rFonts w:ascii="Arial" w:eastAsia="Times New Roman" w:hAnsi="Arial"/>
      <w:sz w:val="20"/>
      <w:szCs w:val="24"/>
    </w:rPr>
  </w:style>
  <w:style w:type="character" w:customStyle="1" w:styleId="HeaderChar">
    <w:name w:val="Header Char"/>
    <w:link w:val="Header"/>
    <w:rsid w:val="00BC2914"/>
    <w:rPr>
      <w:rFonts w:ascii="Arial" w:eastAsia="Times New Roman" w:hAnsi="Arial"/>
      <w:szCs w:val="24"/>
    </w:rPr>
  </w:style>
  <w:style w:type="paragraph" w:styleId="Footer">
    <w:name w:val="footer"/>
    <w:basedOn w:val="Normal"/>
    <w:link w:val="FooterChar"/>
    <w:uiPriority w:val="99"/>
    <w:unhideWhenUsed/>
    <w:rsid w:val="0059760C"/>
    <w:pPr>
      <w:tabs>
        <w:tab w:val="center" w:pos="4680"/>
        <w:tab w:val="right" w:pos="9360"/>
      </w:tabs>
    </w:pPr>
  </w:style>
  <w:style w:type="character" w:customStyle="1" w:styleId="FooterChar">
    <w:name w:val="Footer Char"/>
    <w:link w:val="Footer"/>
    <w:uiPriority w:val="99"/>
    <w:rsid w:val="0059760C"/>
    <w:rPr>
      <w:sz w:val="22"/>
      <w:szCs w:val="22"/>
    </w:rPr>
  </w:style>
  <w:style w:type="paragraph" w:styleId="BalloonText">
    <w:name w:val="Balloon Text"/>
    <w:basedOn w:val="Normal"/>
    <w:link w:val="BalloonTextChar"/>
    <w:uiPriority w:val="99"/>
    <w:semiHidden/>
    <w:unhideWhenUsed/>
    <w:rsid w:val="009901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0191"/>
    <w:rPr>
      <w:rFonts w:ascii="Tahoma" w:hAnsi="Tahoma" w:cs="Tahoma"/>
      <w:sz w:val="16"/>
      <w:szCs w:val="16"/>
    </w:rPr>
  </w:style>
  <w:style w:type="paragraph" w:styleId="Revision">
    <w:name w:val="Revision"/>
    <w:hidden/>
    <w:uiPriority w:val="99"/>
    <w:semiHidden/>
    <w:rsid w:val="0005343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13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D8B79EE3A8DA54C88D5C4EACC126410" ma:contentTypeVersion="6" ma:contentTypeDescription="Ein neues Dokument erstellen." ma:contentTypeScope="" ma:versionID="41866c3b2918bf0b3a7f45452c88c8e7">
  <xsd:schema xmlns:xsd="http://www.w3.org/2001/XMLSchema" xmlns:xs="http://www.w3.org/2001/XMLSchema" xmlns:p="http://schemas.microsoft.com/office/2006/metadata/properties" xmlns:ns2="19ebd1bb-8645-4eb5-84ed-49ecbcc43a56" xmlns:ns3="796cc898-eb98-4b31-bebe-be8fdbeac870" targetNamespace="http://schemas.microsoft.com/office/2006/metadata/properties" ma:root="true" ma:fieldsID="038d9ac2e812fe4b8786b890813af45a" ns2:_="" ns3:_="">
    <xsd:import namespace="19ebd1bb-8645-4eb5-84ed-49ecbcc43a56"/>
    <xsd:import namespace="796cc898-eb98-4b31-bebe-be8fdbeac8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bd1bb-8645-4eb5-84ed-49ecbcc43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6cc898-eb98-4b31-bebe-be8fdbeac87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6C670-7D22-4BAC-91BA-9A7CF7ABE3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7647C9-5322-4C9A-9805-69E2C209915A}">
  <ds:schemaRefs>
    <ds:schemaRef ds:uri="http://schemas.openxmlformats.org/officeDocument/2006/bibliography"/>
  </ds:schemaRefs>
</ds:datastoreItem>
</file>

<file path=customXml/itemProps3.xml><?xml version="1.0" encoding="utf-8"?>
<ds:datastoreItem xmlns:ds="http://schemas.openxmlformats.org/officeDocument/2006/customXml" ds:itemID="{15018249-E242-4ACF-A7B5-193149219044}">
  <ds:schemaRefs>
    <ds:schemaRef ds:uri="http://schemas.microsoft.com/sharepoint/v3/contenttype/forms"/>
  </ds:schemaRefs>
</ds:datastoreItem>
</file>

<file path=customXml/itemProps4.xml><?xml version="1.0" encoding="utf-8"?>
<ds:datastoreItem xmlns:ds="http://schemas.openxmlformats.org/officeDocument/2006/customXml" ds:itemID="{AC42062F-5E0E-4F3C-9B96-CB8624CAB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bd1bb-8645-4eb5-84ed-49ecbcc43a56"/>
    <ds:schemaRef ds:uri="796cc898-eb98-4b31-bebe-be8fdbeac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BELIMO Automation AG</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Robert</dc:creator>
  <cp:keywords/>
  <cp:lastModifiedBy>Gillotti, Ben</cp:lastModifiedBy>
  <cp:revision>2</cp:revision>
  <cp:lastPrinted>2024-04-12T18:15:00Z</cp:lastPrinted>
  <dcterms:created xsi:type="dcterms:W3CDTF">2024-05-20T17:40:00Z</dcterms:created>
  <dcterms:modified xsi:type="dcterms:W3CDTF">2024-05-20T17:40:00Z</dcterms:modified>
</cp:coreProperties>
</file>