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F4D" w14:textId="77777777" w:rsidR="004663AE" w:rsidRDefault="004663AE" w:rsidP="004663AE">
      <w:pPr>
        <w:rPr>
          <w:u w:val="single"/>
        </w:rPr>
      </w:pPr>
    </w:p>
    <w:p w14:paraId="7F5C5C30" w14:textId="77777777" w:rsidR="004663AE" w:rsidRDefault="004663AE" w:rsidP="004663AE">
      <w:pPr>
        <w:rPr>
          <w:i/>
          <w:iCs/>
          <w:sz w:val="18"/>
          <w:szCs w:val="22"/>
        </w:rPr>
      </w:pPr>
    </w:p>
    <w:p w14:paraId="27413110" w14:textId="644327D7" w:rsidR="004663AE" w:rsidRDefault="004663AE" w:rsidP="004663A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30907FBB" w14:textId="77777777" w:rsidR="004663AE" w:rsidRPr="004663AE" w:rsidRDefault="004663AE" w:rsidP="004663AE">
      <w:pPr>
        <w:rPr>
          <w:i/>
          <w:iCs/>
          <w:sz w:val="18"/>
          <w:szCs w:val="22"/>
        </w:rPr>
      </w:pPr>
    </w:p>
    <w:p w14:paraId="4545712F" w14:textId="77777777" w:rsidR="00B12A60" w:rsidRDefault="00B12A60" w:rsidP="00335ABD">
      <w:pPr>
        <w:rPr>
          <w:u w:val="single"/>
        </w:rPr>
      </w:pPr>
    </w:p>
    <w:p w14:paraId="420EF758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54942530" w14:textId="77777777" w:rsidR="00B12A60" w:rsidRDefault="00B12A60" w:rsidP="00B12A60">
      <w:pPr>
        <w:rPr>
          <w:b/>
          <w:bCs/>
        </w:rPr>
      </w:pPr>
    </w:p>
    <w:p w14:paraId="0062207B" w14:textId="3CFCB200" w:rsidR="00335ABD" w:rsidRPr="00AC7727" w:rsidRDefault="00335ABD" w:rsidP="00335ABD">
      <w:pPr>
        <w:rPr>
          <w:u w:val="single"/>
        </w:rPr>
      </w:pPr>
      <w:r>
        <w:rPr>
          <w:u w:val="single"/>
        </w:rPr>
        <w:t>Válvulas de zona (Belimo ZoneTight)</w:t>
      </w:r>
    </w:p>
    <w:p w14:paraId="741A9BCC" w14:textId="77777777" w:rsidR="00335ABD" w:rsidRDefault="00335ABD" w:rsidP="00335ABD"/>
    <w:p w14:paraId="66E246D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combinación de válvula de control y actuador debe ser suministrada y entregada por un único fabricante.</w:t>
      </w:r>
    </w:p>
    <w:p w14:paraId="11C55C63" w14:textId="77777777" w:rsidR="00F65976" w:rsidRPr="008460A8" w:rsidRDefault="00F65976" w:rsidP="00F65976">
      <w:pPr>
        <w:pStyle w:val="ListParagraph"/>
      </w:pPr>
    </w:p>
    <w:p w14:paraId="5B75FC1C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Fabricación, etiquetado o distribución realizada por Belimo.</w:t>
      </w:r>
    </w:p>
    <w:p w14:paraId="58559636" w14:textId="77777777" w:rsidR="00F65976" w:rsidRPr="008460A8" w:rsidRDefault="00F65976" w:rsidP="00F65976">
      <w:pPr>
        <w:pStyle w:val="ListParagraph"/>
      </w:pPr>
    </w:p>
    <w:p w14:paraId="66707FDD" w14:textId="7777777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El fabricante debe proveer una garantía de 5 años para todos los componentes desde su fecha de fabricación.</w:t>
      </w:r>
    </w:p>
    <w:p w14:paraId="04E630DB" w14:textId="77777777" w:rsidR="00F65976" w:rsidRPr="008460A8" w:rsidRDefault="00F65976" w:rsidP="00F65976">
      <w:pPr>
        <w:pStyle w:val="ListParagraph"/>
      </w:pPr>
    </w:p>
    <w:p w14:paraId="0DED06CC" w14:textId="77777777" w:rsidR="00F65976" w:rsidRDefault="00F65976" w:rsidP="00F65976">
      <w:pPr>
        <w:pStyle w:val="ListParagraph"/>
        <w:numPr>
          <w:ilvl w:val="0"/>
          <w:numId w:val="28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74F62FBA" w14:textId="77777777" w:rsidR="00504B51" w:rsidRPr="00504B51" w:rsidRDefault="00504B51" w:rsidP="00504B51">
      <w:pPr>
        <w:rPr>
          <w:rFonts w:cs="Arial"/>
        </w:rPr>
      </w:pPr>
    </w:p>
    <w:p w14:paraId="30D60987" w14:textId="77777777" w:rsidR="0035230A" w:rsidRPr="001B2E8B" w:rsidRDefault="0035230A" w:rsidP="0035230A">
      <w:pPr>
        <w:pStyle w:val="ListParagraph"/>
        <w:numPr>
          <w:ilvl w:val="0"/>
          <w:numId w:val="28"/>
        </w:numPr>
        <w:rPr>
          <w:strike/>
        </w:rPr>
      </w:pPr>
      <w:r>
        <w:t xml:space="preserve">Cuando se indique, proporcionar un actuador que falle en una posición predeterminada. </w:t>
      </w:r>
    </w:p>
    <w:p w14:paraId="4C2E798D" w14:textId="77777777" w:rsidR="001B2E8B" w:rsidRPr="001B2E8B" w:rsidRDefault="001B2E8B" w:rsidP="001B2E8B">
      <w:pPr>
        <w:pStyle w:val="ListParagraph"/>
        <w:rPr>
          <w:strike/>
        </w:rPr>
      </w:pPr>
    </w:p>
    <w:p w14:paraId="27C503C6" w14:textId="03047D5E" w:rsidR="001B2E8B" w:rsidRPr="001B2E8B" w:rsidRDefault="001B2E8B" w:rsidP="001B2E8B">
      <w:pPr>
        <w:pStyle w:val="ListParagraph"/>
        <w:numPr>
          <w:ilvl w:val="0"/>
          <w:numId w:val="28"/>
        </w:numPr>
        <w:rPr>
          <w:strike/>
        </w:rPr>
      </w:pPr>
      <w:r>
        <w:t xml:space="preserve">La combinación de válvula/actuador debe disponer de un medio de control manual en caso de pérdida de potencia.  </w:t>
      </w:r>
    </w:p>
    <w:p w14:paraId="74B484D8" w14:textId="77777777" w:rsidR="006E05C7" w:rsidRPr="006E05C7" w:rsidRDefault="006E05C7" w:rsidP="006E05C7">
      <w:pPr>
        <w:pStyle w:val="ListParagraph"/>
        <w:rPr>
          <w:strike/>
        </w:rPr>
      </w:pPr>
    </w:p>
    <w:p w14:paraId="6CAE45B1" w14:textId="1B829473" w:rsidR="006E05C7" w:rsidRPr="006E05C7" w:rsidRDefault="006E05C7" w:rsidP="006E05C7">
      <w:pPr>
        <w:pStyle w:val="ListParagraph"/>
        <w:numPr>
          <w:ilvl w:val="0"/>
          <w:numId w:val="28"/>
        </w:numPr>
      </w:pPr>
      <w:r>
        <w:t>Los actuadores deben estar protegidos contra sobrecargas en cualquier ángulo de giro.</w:t>
      </w:r>
    </w:p>
    <w:p w14:paraId="1E584D21" w14:textId="77777777" w:rsidR="0035230A" w:rsidRPr="008460A8" w:rsidRDefault="0035230A" w:rsidP="001B2E8B"/>
    <w:p w14:paraId="09E7A23A" w14:textId="048B18B0" w:rsidR="0035230A" w:rsidRDefault="0035230A" w:rsidP="00410FEB">
      <w:pPr>
        <w:pStyle w:val="ListParagraph"/>
        <w:numPr>
          <w:ilvl w:val="0"/>
          <w:numId w:val="28"/>
        </w:numPr>
      </w:pPr>
      <w:r>
        <w:t>La adaptación del actuador debe permitir la calibración de la señal de control de entrada analógica para la apertura de la válvula de control.</w:t>
      </w:r>
    </w:p>
    <w:p w14:paraId="110404CB" w14:textId="77777777" w:rsidR="00F65976" w:rsidRPr="008460A8" w:rsidRDefault="00F65976" w:rsidP="00F65976"/>
    <w:p w14:paraId="62389F35" w14:textId="13E15917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combinación de válvula de control y actuador debe ser capaz de cerrar la válvula contra el 150% de presión de cierre de la bomba del sistema para el agua.  Las válvulas de mezcla de 3 vías deben ser capaces de cerrar la válvula contra el 150% de la presión diferencial del sistema.</w:t>
      </w:r>
    </w:p>
    <w:p w14:paraId="3140AEB0" w14:textId="77777777" w:rsidR="00F65976" w:rsidRPr="008460A8" w:rsidRDefault="00F65976" w:rsidP="00F65976">
      <w:pPr>
        <w:pStyle w:val="ListParagraph"/>
      </w:pPr>
    </w:p>
    <w:p w14:paraId="197A6823" w14:textId="12B69524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 xml:space="preserve">Los cuerpos de las válvulas de control deben ser de latón forjado.  Bola de latón cromado y vástago a prueba de reventar con juntas tóricas de PTFE y doble EPDM.  </w:t>
      </w:r>
    </w:p>
    <w:p w14:paraId="07F9C429" w14:textId="77777777" w:rsidR="00F65976" w:rsidRPr="008460A8" w:rsidRDefault="00F65976" w:rsidP="00F65976"/>
    <w:p w14:paraId="108CD187" w14:textId="1EBBF126" w:rsidR="00F65976" w:rsidRPr="008460A8" w:rsidRDefault="00F65976" w:rsidP="00F65976">
      <w:pPr>
        <w:pStyle w:val="ListParagraph"/>
        <w:numPr>
          <w:ilvl w:val="0"/>
          <w:numId w:val="28"/>
        </w:numPr>
      </w:pPr>
      <w:r>
        <w:t>La temperatura del agua del medio debe ser de 0 </w:t>
      </w:r>
      <w:r>
        <w:rPr>
          <w:vertAlign w:val="superscript"/>
        </w:rPr>
        <w:t>o</w:t>
      </w:r>
      <w:r>
        <w:t>F a 212 </w:t>
      </w:r>
      <w:r>
        <w:rPr>
          <w:vertAlign w:val="superscript"/>
        </w:rPr>
        <w:t>o</w:t>
      </w:r>
      <w:r>
        <w:t>F (-18 </w:t>
      </w:r>
      <w:r>
        <w:rPr>
          <w:vertAlign w:val="superscript"/>
        </w:rPr>
        <w:t>o</w:t>
      </w:r>
      <w:r>
        <w:t>C a +1 </w:t>
      </w:r>
      <w:r>
        <w:rPr>
          <w:vertAlign w:val="superscript"/>
        </w:rPr>
        <w:t>o</w:t>
      </w:r>
      <w:r>
        <w:t xml:space="preserve">C) con un máximo de 60% de solución de glicol.  </w:t>
      </w:r>
    </w:p>
    <w:p w14:paraId="054EEBC8" w14:textId="77777777" w:rsidR="00F65976" w:rsidRPr="008460A8" w:rsidRDefault="00F65976" w:rsidP="00F65976">
      <w:pPr>
        <w:pStyle w:val="ListParagraph"/>
      </w:pPr>
    </w:p>
    <w:p w14:paraId="3FB812ED" w14:textId="2FF407D2" w:rsidR="00F65976" w:rsidRPr="007B6402" w:rsidRDefault="006C79F3" w:rsidP="00F65976">
      <w:pPr>
        <w:pStyle w:val="ListParagraph"/>
        <w:numPr>
          <w:ilvl w:val="0"/>
          <w:numId w:val="28"/>
        </w:numPr>
        <w:rPr>
          <w:strike/>
        </w:rPr>
      </w:pPr>
      <w:r>
        <w:t>La válvula de 2 vías (A-AB) debe presentar una característica de flujo de igual porcentaje con sello hermético.  La válvula divergente de 3 vías debe presentar una característica de flujo lineal.</w:t>
      </w:r>
    </w:p>
    <w:p w14:paraId="569EBCDD" w14:textId="77777777" w:rsidR="007B6402" w:rsidRPr="007B6402" w:rsidRDefault="007B6402" w:rsidP="007B6402">
      <w:pPr>
        <w:pStyle w:val="ListParagraph"/>
        <w:rPr>
          <w:strike/>
        </w:rPr>
      </w:pPr>
    </w:p>
    <w:p w14:paraId="57183464" w14:textId="020E9327" w:rsidR="007B6402" w:rsidRPr="007B6402" w:rsidRDefault="007B6402" w:rsidP="00F65976">
      <w:pPr>
        <w:pStyle w:val="ListParagraph"/>
        <w:numPr>
          <w:ilvl w:val="0"/>
          <w:numId w:val="28"/>
        </w:numPr>
      </w:pPr>
      <w:r>
        <w:t>El coeficiente de flujo volumétrico máximo (Cv) debe poder ajustarse sobre el terreno sin necesidad de herramientas especializadas.</w:t>
      </w:r>
    </w:p>
    <w:p w14:paraId="00C9DEA6" w14:textId="77777777" w:rsidR="00736383" w:rsidRDefault="00736383" w:rsidP="00736383"/>
    <w:p w14:paraId="510A7A47" w14:textId="77777777" w:rsidR="00B12A60" w:rsidRDefault="00B12A60" w:rsidP="00736383">
      <w:pPr>
        <w:rPr>
          <w:u w:val="single"/>
        </w:rPr>
      </w:pPr>
    </w:p>
    <w:p w14:paraId="550E0E6D" w14:textId="77777777" w:rsidR="00B12A60" w:rsidRDefault="00B12A60" w:rsidP="00736383">
      <w:pPr>
        <w:rPr>
          <w:u w:val="single"/>
        </w:rPr>
      </w:pPr>
    </w:p>
    <w:p w14:paraId="73447408" w14:textId="77777777" w:rsidR="00CA2281" w:rsidRDefault="00CA2281" w:rsidP="001906CE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7473" w14:textId="77777777" w:rsidR="00CD446E" w:rsidRDefault="00CD446E">
      <w:r>
        <w:separator/>
      </w:r>
    </w:p>
  </w:endnote>
  <w:endnote w:type="continuationSeparator" w:id="0">
    <w:p w14:paraId="479115E6" w14:textId="77777777" w:rsidR="00CD446E" w:rsidRDefault="00CD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BCBB" w14:textId="77777777" w:rsidR="00CD446E" w:rsidRDefault="00CD446E">
      <w:r>
        <w:separator/>
      </w:r>
    </w:p>
  </w:footnote>
  <w:footnote w:type="continuationSeparator" w:id="0">
    <w:p w14:paraId="6EF5791D" w14:textId="77777777" w:rsidR="00CD446E" w:rsidRDefault="00CD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906CE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5617"/>
    <w:rsid w:val="0034694A"/>
    <w:rsid w:val="0035230A"/>
    <w:rsid w:val="00367400"/>
    <w:rsid w:val="0038137E"/>
    <w:rsid w:val="003834FD"/>
    <w:rsid w:val="00395DB7"/>
    <w:rsid w:val="00396C66"/>
    <w:rsid w:val="003A15A8"/>
    <w:rsid w:val="003B1B52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A24B5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D284D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0C62"/>
    <w:rsid w:val="00BF2427"/>
    <w:rsid w:val="00C0320D"/>
    <w:rsid w:val="00C04E32"/>
    <w:rsid w:val="00C159E1"/>
    <w:rsid w:val="00C30B96"/>
    <w:rsid w:val="00C3171C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CD446E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4</cp:revision>
  <cp:lastPrinted>2025-06-23T16:05:00Z</cp:lastPrinted>
  <dcterms:created xsi:type="dcterms:W3CDTF">2025-07-29T17:18:00Z</dcterms:created>
  <dcterms:modified xsi:type="dcterms:W3CDTF">2025-08-11T17:18:00Z</dcterms:modified>
</cp:coreProperties>
</file>