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9CFE" w14:textId="77777777" w:rsidR="006B1BB9" w:rsidRDefault="00000000">
      <w:pPr>
        <w:pStyle w:val="Heading1"/>
        <w:spacing w:after="200"/>
      </w:pPr>
      <w:bookmarkStart w:id="0" w:name="_6rtv992miz03" w:colFirst="0" w:colLast="0"/>
      <w:bookmarkEnd w:id="0"/>
      <w:r>
        <w:t>Indoor Air Quality Monitoring</w:t>
      </w:r>
    </w:p>
    <w:p w14:paraId="56449CFF" w14:textId="46FF26BA" w:rsidR="006B1BB9" w:rsidRDefault="00000000">
      <w:pPr>
        <w:spacing w:after="200"/>
      </w:pPr>
      <w:r>
        <w:t xml:space="preserve">Monitors shall be installed to measure temperature, relative humidity, particulate matter (PM2.5), total volatile organic compounds, and carbon dioxide. </w:t>
      </w:r>
    </w:p>
    <w:p w14:paraId="56449D00" w14:textId="77777777" w:rsidR="006B1BB9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t>Sensor requirement.</w:t>
      </w:r>
    </w:p>
    <w:p w14:paraId="56449D01" w14:textId="77777777" w:rsidR="006B1BB9" w:rsidRDefault="00000000">
      <w:pPr>
        <w:spacing w:after="200"/>
      </w:pPr>
      <w:r>
        <w:t xml:space="preserve">Minimum sensor specifications shall be as follows: </w:t>
      </w:r>
    </w:p>
    <w:p w14:paraId="56449D02" w14:textId="5B818532" w:rsidR="006B1BB9" w:rsidRDefault="00000000">
      <w:pPr>
        <w:numPr>
          <w:ilvl w:val="1"/>
          <w:numId w:val="1"/>
        </w:numPr>
        <w:spacing w:after="200"/>
      </w:pPr>
      <w:r>
        <w:t>Temperature measurement range: -20 to 100°C, accuracy</w:t>
      </w:r>
      <w:r w:rsidR="00180866">
        <w:t xml:space="preserve"> ±1.0°C</w:t>
      </w:r>
      <w:r>
        <w:t>.</w:t>
      </w:r>
    </w:p>
    <w:p w14:paraId="56449D03" w14:textId="215D43CA" w:rsidR="006B1BB9" w:rsidRDefault="00000000">
      <w:pPr>
        <w:numPr>
          <w:ilvl w:val="1"/>
          <w:numId w:val="1"/>
        </w:numPr>
        <w:spacing w:after="200"/>
      </w:pPr>
      <w:r>
        <w:t xml:space="preserve">Relative humidity measurement range: 0 - 99% RH, </w:t>
      </w:r>
      <w:r w:rsidR="00C5614A">
        <w:t xml:space="preserve">accuracy </w:t>
      </w:r>
      <w:r>
        <w:t>± 5% RH.</w:t>
      </w:r>
    </w:p>
    <w:p w14:paraId="56449D04" w14:textId="4A844787" w:rsidR="006B1BB9" w:rsidRDefault="00000000">
      <w:pPr>
        <w:numPr>
          <w:ilvl w:val="1"/>
          <w:numId w:val="1"/>
        </w:numPr>
        <w:spacing w:after="200"/>
      </w:pPr>
      <w:r>
        <w:t xml:space="preserve">PM2.5 measurement range: </w:t>
      </w:r>
      <w:r w:rsidR="00E66B5D">
        <w:t>0</w:t>
      </w:r>
      <w:r>
        <w:t xml:space="preserve"> - 1000 </w:t>
      </w:r>
      <w:r w:rsidR="00223BFA">
        <w:t>μg/m</w:t>
      </w:r>
      <w:r w:rsidR="00223BFA" w:rsidRPr="00223BFA">
        <w:rPr>
          <w:vertAlign w:val="superscript"/>
        </w:rPr>
        <w:t>3</w:t>
      </w:r>
      <w:r>
        <w:t xml:space="preserve">, accuracy: ± 10% </w:t>
      </w:r>
      <w:r w:rsidR="00EB54D7">
        <w:t>(30 – 1000 μg/m</w:t>
      </w:r>
      <w:r w:rsidR="00EB54D7" w:rsidRPr="00223BFA">
        <w:rPr>
          <w:vertAlign w:val="superscript"/>
        </w:rPr>
        <w:t>3</w:t>
      </w:r>
      <w:r w:rsidR="00EB54D7">
        <w:t>)</w:t>
      </w:r>
      <w:r w:rsidR="00223BFA">
        <w:t>, ±3 μg/m</w:t>
      </w:r>
      <w:r w:rsidR="00223BFA" w:rsidRPr="00223BFA">
        <w:rPr>
          <w:vertAlign w:val="superscript"/>
        </w:rPr>
        <w:t>3</w:t>
      </w:r>
      <w:r w:rsidR="00223BFA">
        <w:rPr>
          <w:vertAlign w:val="superscript"/>
        </w:rPr>
        <w:t xml:space="preserve"> </w:t>
      </w:r>
      <w:r>
        <w:t>(</w:t>
      </w:r>
      <w:r w:rsidR="00223BFA">
        <w:t xml:space="preserve">0 – </w:t>
      </w:r>
      <w:r>
        <w:t xml:space="preserve">30 </w:t>
      </w:r>
      <w:r w:rsidR="00223BFA">
        <w:t>μg/m</w:t>
      </w:r>
      <w:r w:rsidR="00223BFA" w:rsidRPr="00223BFA">
        <w:rPr>
          <w:vertAlign w:val="superscript"/>
        </w:rPr>
        <w:t>3</w:t>
      </w:r>
      <w:r>
        <w:t>).</w:t>
      </w:r>
    </w:p>
    <w:p w14:paraId="56449D05" w14:textId="664185F6" w:rsidR="006B1BB9" w:rsidRDefault="00000000">
      <w:pPr>
        <w:numPr>
          <w:ilvl w:val="1"/>
          <w:numId w:val="1"/>
        </w:numPr>
        <w:spacing w:after="200"/>
      </w:pPr>
      <w:r>
        <w:t xml:space="preserve">TVOC measurement range: 0 - 60000 ppb, </w:t>
      </w:r>
      <w:r w:rsidR="00C5614A">
        <w:t>a</w:t>
      </w:r>
      <w:r>
        <w:t>ccuracy: ±15% ±8 ppb.</w:t>
      </w:r>
    </w:p>
    <w:p w14:paraId="56449D06" w14:textId="7576C41F" w:rsidR="006B1BB9" w:rsidRDefault="00000000">
      <w:pPr>
        <w:numPr>
          <w:ilvl w:val="1"/>
          <w:numId w:val="1"/>
        </w:numPr>
        <w:spacing w:after="200"/>
      </w:pPr>
      <w:r>
        <w:t>Carbon dioxide measurement range: 400 - 10,000 ppm, accuracy: ±3%</w:t>
      </w:r>
      <w:r w:rsidR="00112F39">
        <w:t xml:space="preserve"> of measured value ±50 ppm</w:t>
      </w:r>
      <w:r>
        <w:t>.</w:t>
      </w:r>
    </w:p>
    <w:p w14:paraId="56449D07" w14:textId="77777777" w:rsidR="006B1BB9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t>Certification.</w:t>
      </w:r>
    </w:p>
    <w:p w14:paraId="56449D08" w14:textId="2B3C27A4" w:rsidR="006B1BB9" w:rsidRDefault="0080439A">
      <w:pPr>
        <w:spacing w:after="200"/>
      </w:pPr>
      <w:r>
        <w:t>The monitor shall be RESET certified Grade B level.</w:t>
      </w:r>
    </w:p>
    <w:p w14:paraId="56449D09" w14:textId="77777777" w:rsidR="006B1BB9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t>Maintenance.</w:t>
      </w:r>
    </w:p>
    <w:p w14:paraId="56449D0A" w14:textId="74E05303" w:rsidR="006B1BB9" w:rsidRDefault="00000000">
      <w:pPr>
        <w:spacing w:after="200"/>
      </w:pPr>
      <w:r>
        <w:t xml:space="preserve">Sensor components are included in consumable cartridges for easy </w:t>
      </w:r>
      <w:r w:rsidR="00692BBC">
        <w:t>replacement</w:t>
      </w:r>
      <w:r>
        <w:t xml:space="preserve"> and maintenance.</w:t>
      </w:r>
    </w:p>
    <w:p w14:paraId="56449D0B" w14:textId="77777777" w:rsidR="006B1BB9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t>Placement.</w:t>
      </w:r>
    </w:p>
    <w:p w14:paraId="56449D0C" w14:textId="5A8938E5" w:rsidR="006B1BB9" w:rsidRDefault="00000000">
      <w:pPr>
        <w:spacing w:after="200"/>
      </w:pPr>
      <w:r>
        <w:t xml:space="preserve">Monitor density is at least one sensor per floor or per </w:t>
      </w:r>
      <w:r w:rsidR="006A011A">
        <w:t>325 m</w:t>
      </w:r>
      <w:r w:rsidR="006A011A">
        <w:rPr>
          <w:vertAlign w:val="superscript"/>
        </w:rPr>
        <w:t>2</w:t>
      </w:r>
      <w:r w:rsidR="006A011A">
        <w:t xml:space="preserve"> (</w:t>
      </w:r>
      <w:r>
        <w:t>3500 ft</w:t>
      </w:r>
      <w:r>
        <w:rPr>
          <w:vertAlign w:val="superscript"/>
        </w:rPr>
        <w:t>2</w:t>
      </w:r>
      <w:r w:rsidR="006A011A">
        <w:t>)</w:t>
      </w:r>
      <w:r>
        <w:t xml:space="preserve"> </w:t>
      </w:r>
      <w:r w:rsidR="00CF5F99">
        <w:t>in open space</w:t>
      </w:r>
      <w:r>
        <w:t>, whichever one is more stringent. Monitors are sited at locations compliant with the following requirements:</w:t>
      </w:r>
    </w:p>
    <w:p w14:paraId="56449D0D" w14:textId="4B13A510" w:rsidR="006B1BB9" w:rsidRDefault="00000000">
      <w:pPr>
        <w:numPr>
          <w:ilvl w:val="1"/>
          <w:numId w:val="1"/>
        </w:numPr>
        <w:spacing w:after="200"/>
      </w:pPr>
      <w:r>
        <w:t>Wall-mounted</w:t>
      </w:r>
      <w:r w:rsidR="00C567E0">
        <w:t>.</w:t>
      </w:r>
    </w:p>
    <w:p w14:paraId="56449D0E" w14:textId="77777777" w:rsidR="006B1BB9" w:rsidRDefault="00000000">
      <w:pPr>
        <w:numPr>
          <w:ilvl w:val="1"/>
          <w:numId w:val="1"/>
        </w:numPr>
        <w:spacing w:after="200"/>
      </w:pPr>
      <w:r>
        <w:t>3.6-5.6 ft (1.1-1.7 m) above the finished floor at locations where occupants would typically be seated or standing.</w:t>
      </w:r>
    </w:p>
    <w:p w14:paraId="56449D0F" w14:textId="77777777" w:rsidR="006B1BB9" w:rsidRDefault="00000000">
      <w:pPr>
        <w:numPr>
          <w:ilvl w:val="1"/>
          <w:numId w:val="1"/>
        </w:numPr>
        <w:spacing w:after="200"/>
      </w:pPr>
      <w:r>
        <w:t>At least 3.3 ft (1 m) away from doors, operable windows, and air supply/exhaust outlets.</w:t>
      </w:r>
    </w:p>
    <w:p w14:paraId="56449D10" w14:textId="77777777" w:rsidR="006B1BB9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t>Data sampling.</w:t>
      </w:r>
    </w:p>
    <w:p w14:paraId="56449D11" w14:textId="77777777" w:rsidR="006B1BB9" w:rsidRDefault="00000000">
      <w:pPr>
        <w:spacing w:after="200"/>
      </w:pPr>
      <w:r>
        <w:t>Measurements shall be taken at intervals of no longer than 1 minute for all parameters.</w:t>
      </w:r>
    </w:p>
    <w:p w14:paraId="56449D12" w14:textId="77777777" w:rsidR="006B1BB9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lastRenderedPageBreak/>
        <w:t>Power options.</w:t>
      </w:r>
    </w:p>
    <w:p w14:paraId="56449D13" w14:textId="699A4E7B" w:rsidR="006B1BB9" w:rsidRDefault="004A761B">
      <w:pPr>
        <w:spacing w:after="200"/>
      </w:pPr>
      <w:r>
        <w:t>The monitor shall provide at least one of the following power options:</w:t>
      </w:r>
    </w:p>
    <w:p w14:paraId="56449D14" w14:textId="77777777" w:rsidR="006B1BB9" w:rsidRDefault="00000000">
      <w:pPr>
        <w:numPr>
          <w:ilvl w:val="1"/>
          <w:numId w:val="1"/>
        </w:numPr>
        <w:spacing w:after="200"/>
      </w:pPr>
      <w:r>
        <w:t>100 - 240 V AC via USB-C (5V 1.8A DC)</w:t>
      </w:r>
    </w:p>
    <w:p w14:paraId="56449D15" w14:textId="77777777" w:rsidR="006B1BB9" w:rsidRDefault="00000000">
      <w:pPr>
        <w:numPr>
          <w:ilvl w:val="1"/>
          <w:numId w:val="1"/>
        </w:numPr>
        <w:spacing w:after="200"/>
      </w:pPr>
      <w:r>
        <w:t>12 - 30 V DC via direct wiring</w:t>
      </w:r>
    </w:p>
    <w:p w14:paraId="56449D16" w14:textId="77777777" w:rsidR="006B1BB9" w:rsidRDefault="00000000">
      <w:pPr>
        <w:numPr>
          <w:ilvl w:val="1"/>
          <w:numId w:val="1"/>
        </w:numPr>
        <w:spacing w:after="200"/>
      </w:pPr>
      <w:r>
        <w:t xml:space="preserve">Power-over-ethernet (PoE) </w:t>
      </w:r>
    </w:p>
    <w:p w14:paraId="56449D17" w14:textId="77777777" w:rsidR="006B1BB9" w:rsidRDefault="00000000">
      <w:pPr>
        <w:numPr>
          <w:ilvl w:val="2"/>
          <w:numId w:val="1"/>
        </w:numPr>
        <w:spacing w:after="200"/>
      </w:pPr>
      <w:r>
        <w:t>IEEE 802.3af (PoE), Class3</w:t>
      </w:r>
    </w:p>
    <w:p w14:paraId="56449D18" w14:textId="77777777" w:rsidR="006B1BB9" w:rsidRDefault="00000000">
      <w:pPr>
        <w:numPr>
          <w:ilvl w:val="2"/>
          <w:numId w:val="1"/>
        </w:numPr>
        <w:spacing w:after="200"/>
      </w:pPr>
      <w:r>
        <w:t>IEEE 802.3at (PoE+), Class3</w:t>
      </w:r>
    </w:p>
    <w:p w14:paraId="56449D19" w14:textId="77777777" w:rsidR="006B1BB9" w:rsidRDefault="00000000">
      <w:pPr>
        <w:numPr>
          <w:ilvl w:val="2"/>
          <w:numId w:val="1"/>
        </w:numPr>
        <w:spacing w:after="200"/>
      </w:pPr>
      <w:r>
        <w:t>PD maximum power 10 W</w:t>
      </w:r>
    </w:p>
    <w:p w14:paraId="56449D1A" w14:textId="77777777" w:rsidR="006B1BB9" w:rsidRDefault="00000000">
      <w:pPr>
        <w:numPr>
          <w:ilvl w:val="2"/>
          <w:numId w:val="1"/>
        </w:numPr>
        <w:spacing w:after="200"/>
      </w:pPr>
      <w:r>
        <w:t>PSEs: Midspan &amp; endspan supported</w:t>
      </w:r>
    </w:p>
    <w:p w14:paraId="56449D1B" w14:textId="77777777" w:rsidR="006B1BB9" w:rsidRDefault="00000000">
      <w:pPr>
        <w:numPr>
          <w:ilvl w:val="2"/>
          <w:numId w:val="1"/>
        </w:numPr>
        <w:spacing w:after="200"/>
      </w:pPr>
      <w:r>
        <w:t>Cable: Cat5 (Cat5e, Cat6, and Cat6a)</w:t>
      </w:r>
    </w:p>
    <w:p w14:paraId="56449D1C" w14:textId="77777777" w:rsidR="006B1BB9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t>Connectivity options.</w:t>
      </w:r>
    </w:p>
    <w:p w14:paraId="56449D1D" w14:textId="391F3950" w:rsidR="006B1BB9" w:rsidRDefault="000B413E">
      <w:pPr>
        <w:spacing w:after="200"/>
      </w:pPr>
      <w:r>
        <w:t>The monitor shall provide at least one of the following network options:</w:t>
      </w:r>
    </w:p>
    <w:p w14:paraId="56449D1E" w14:textId="77777777" w:rsidR="006B1BB9" w:rsidRDefault="00000000">
      <w:pPr>
        <w:numPr>
          <w:ilvl w:val="1"/>
          <w:numId w:val="1"/>
        </w:numPr>
        <w:spacing w:after="200"/>
      </w:pPr>
      <w:r>
        <w:t>Wi-Fi (2.4 GHz 802.11 b/g/n)</w:t>
      </w:r>
    </w:p>
    <w:p w14:paraId="56449D1F" w14:textId="77777777" w:rsidR="006B1BB9" w:rsidRDefault="00000000">
      <w:pPr>
        <w:numPr>
          <w:ilvl w:val="1"/>
          <w:numId w:val="1"/>
        </w:numPr>
        <w:spacing w:after="200"/>
      </w:pPr>
      <w:r>
        <w:t>Ethernet (IEEE 802.3)</w:t>
      </w:r>
    </w:p>
    <w:p w14:paraId="56449D20" w14:textId="77777777" w:rsidR="006B1BB9" w:rsidRDefault="00000000">
      <w:pPr>
        <w:numPr>
          <w:ilvl w:val="0"/>
          <w:numId w:val="1"/>
        </w:numPr>
        <w:spacing w:after="200"/>
        <w:rPr>
          <w:b/>
        </w:rPr>
      </w:pPr>
      <w:r>
        <w:rPr>
          <w:b/>
        </w:rPr>
        <w:t>Building Integration.</w:t>
      </w:r>
    </w:p>
    <w:p w14:paraId="09E360F9" w14:textId="03B5D56E" w:rsidR="00811B8E" w:rsidRDefault="000B413E">
      <w:pPr>
        <w:spacing w:after="200"/>
      </w:pPr>
      <w:r>
        <w:t xml:space="preserve">The monitor shall be interfaced to the building management system via BACnet IP or Modbus </w:t>
      </w:r>
      <w:r w:rsidR="00C567E0">
        <w:t>RTU</w:t>
      </w:r>
      <w:r>
        <w:t xml:space="preserve"> to share air quality data.</w:t>
      </w:r>
    </w:p>
    <w:p w14:paraId="1AA72825" w14:textId="2E6FD00E" w:rsidR="00811B8E" w:rsidRPr="00811B8E" w:rsidRDefault="000E0F85" w:rsidP="00811B8E">
      <w:pPr>
        <w:pStyle w:val="ListParagraph"/>
        <w:numPr>
          <w:ilvl w:val="0"/>
          <w:numId w:val="1"/>
        </w:numPr>
        <w:spacing w:after="200"/>
        <w:rPr>
          <w:b/>
        </w:rPr>
      </w:pPr>
      <w:r>
        <w:rPr>
          <w:b/>
        </w:rPr>
        <w:t>Cloud</w:t>
      </w:r>
      <w:r w:rsidR="00811B8E" w:rsidRPr="00811B8E">
        <w:rPr>
          <w:b/>
        </w:rPr>
        <w:t xml:space="preserve"> Integration.</w:t>
      </w:r>
    </w:p>
    <w:p w14:paraId="19BBD5E8" w14:textId="3096B6DF" w:rsidR="00811B8E" w:rsidRDefault="00993AC4" w:rsidP="00811B8E">
      <w:pPr>
        <w:spacing w:after="200"/>
      </w:pPr>
      <w:r>
        <w:t xml:space="preserve">The monitor shall </w:t>
      </w:r>
      <w:r w:rsidRPr="00993AC4">
        <w:t>possess built-in cloud integration functionality</w:t>
      </w:r>
      <w:r w:rsidR="00A62F59">
        <w:t xml:space="preserve"> to</w:t>
      </w:r>
      <w:r w:rsidR="00A62F59" w:rsidRPr="00A62F59">
        <w:t xml:space="preserve"> shar</w:t>
      </w:r>
      <w:r w:rsidR="00DC035A">
        <w:t>e</w:t>
      </w:r>
      <w:r w:rsidR="00A62F59" w:rsidRPr="00A62F59">
        <w:t xml:space="preserve"> air quality data online.</w:t>
      </w:r>
    </w:p>
    <w:p w14:paraId="56449D23" w14:textId="77777777" w:rsidR="006B1BB9" w:rsidRDefault="006B1BB9">
      <w:pPr>
        <w:spacing w:after="200"/>
      </w:pPr>
    </w:p>
    <w:p w14:paraId="56449D24" w14:textId="77777777" w:rsidR="006B1BB9" w:rsidRDefault="006B1BB9">
      <w:pPr>
        <w:spacing w:after="200"/>
      </w:pPr>
    </w:p>
    <w:p w14:paraId="56449D25" w14:textId="77777777" w:rsidR="006B1BB9" w:rsidRDefault="006B1BB9">
      <w:pPr>
        <w:spacing w:after="200"/>
      </w:pPr>
    </w:p>
    <w:p w14:paraId="56449D26" w14:textId="77777777" w:rsidR="006B1BB9" w:rsidRDefault="006B1BB9">
      <w:pPr>
        <w:spacing w:after="200"/>
      </w:pPr>
    </w:p>
    <w:p w14:paraId="56449D27" w14:textId="77777777" w:rsidR="006B1BB9" w:rsidRDefault="006B1BB9">
      <w:pPr>
        <w:spacing w:after="200"/>
      </w:pPr>
    </w:p>
    <w:sectPr w:rsidR="006B1BB9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A3107" w14:textId="77777777" w:rsidR="00895E2B" w:rsidRDefault="00895E2B" w:rsidP="00517FAD">
      <w:pPr>
        <w:spacing w:line="240" w:lineRule="auto"/>
      </w:pPr>
      <w:r>
        <w:separator/>
      </w:r>
    </w:p>
  </w:endnote>
  <w:endnote w:type="continuationSeparator" w:id="0">
    <w:p w14:paraId="4868BB07" w14:textId="77777777" w:rsidR="00895E2B" w:rsidRDefault="00895E2B" w:rsidP="00517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286B" w14:textId="77777777" w:rsidR="00895E2B" w:rsidRDefault="00895E2B" w:rsidP="00517FAD">
      <w:pPr>
        <w:spacing w:line="240" w:lineRule="auto"/>
      </w:pPr>
      <w:r>
        <w:separator/>
      </w:r>
    </w:p>
  </w:footnote>
  <w:footnote w:type="continuationSeparator" w:id="0">
    <w:p w14:paraId="2018110E" w14:textId="77777777" w:rsidR="00895E2B" w:rsidRDefault="00895E2B" w:rsidP="00517F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CD33" w14:textId="67609013" w:rsidR="00517FAD" w:rsidRDefault="004A4206">
    <w:pPr>
      <w:pStyle w:val="Header"/>
    </w:pPr>
    <w:r>
      <w:rPr>
        <w:noProof/>
        <w:lang w:val="en-US" w:eastAsia="zh-CN"/>
      </w:rPr>
      <w:drawing>
        <wp:anchor distT="0" distB="0" distL="114300" distR="457200" simplePos="0" relativeHeight="251659264" behindDoc="0" locked="0" layoutInCell="1" allowOverlap="1" wp14:anchorId="7E840EA7" wp14:editId="15CEF82E">
          <wp:simplePos x="0" y="0"/>
          <wp:positionH relativeFrom="margin">
            <wp:align>right</wp:align>
          </wp:positionH>
          <wp:positionV relativeFrom="paragraph">
            <wp:posOffset>-248666</wp:posOffset>
          </wp:positionV>
          <wp:extent cx="1223645" cy="698500"/>
          <wp:effectExtent l="0" t="0" r="0" b="6350"/>
          <wp:wrapSquare wrapText="right"/>
          <wp:docPr id="2" name="Picture 4" descr="A black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A black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754DC"/>
    <w:multiLevelType w:val="multilevel"/>
    <w:tmpl w:val="9AC4CBA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578323F"/>
    <w:multiLevelType w:val="multilevel"/>
    <w:tmpl w:val="9AC4CBA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544902763">
    <w:abstractNumId w:val="0"/>
  </w:num>
  <w:num w:numId="2" w16cid:durableId="134180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B9"/>
    <w:rsid w:val="000672AF"/>
    <w:rsid w:val="000B413E"/>
    <w:rsid w:val="000E0F85"/>
    <w:rsid w:val="00112F39"/>
    <w:rsid w:val="00180866"/>
    <w:rsid w:val="00214913"/>
    <w:rsid w:val="00223BFA"/>
    <w:rsid w:val="003A7795"/>
    <w:rsid w:val="004A4206"/>
    <w:rsid w:val="004A761B"/>
    <w:rsid w:val="00517FAD"/>
    <w:rsid w:val="00692BBC"/>
    <w:rsid w:val="006A011A"/>
    <w:rsid w:val="006B1BB9"/>
    <w:rsid w:val="0080439A"/>
    <w:rsid w:val="00811B8E"/>
    <w:rsid w:val="00895E2B"/>
    <w:rsid w:val="00980E85"/>
    <w:rsid w:val="00993AC4"/>
    <w:rsid w:val="00A62F59"/>
    <w:rsid w:val="00C23D5D"/>
    <w:rsid w:val="00C5614A"/>
    <w:rsid w:val="00C567E0"/>
    <w:rsid w:val="00CF5F99"/>
    <w:rsid w:val="00DC035A"/>
    <w:rsid w:val="00DC0FAE"/>
    <w:rsid w:val="00E57ED4"/>
    <w:rsid w:val="00E66B5D"/>
    <w:rsid w:val="00EB54D7"/>
    <w:rsid w:val="00F4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449CFE"/>
  <w15:docId w15:val="{C8DCB3B2-EFB8-497C-A3F9-AD61F70A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17F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AD"/>
  </w:style>
  <w:style w:type="paragraph" w:styleId="Footer">
    <w:name w:val="footer"/>
    <w:basedOn w:val="Normal"/>
    <w:link w:val="FooterChar"/>
    <w:uiPriority w:val="99"/>
    <w:unhideWhenUsed/>
    <w:rsid w:val="00517F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AD"/>
  </w:style>
  <w:style w:type="paragraph" w:styleId="ListParagraph">
    <w:name w:val="List Paragraph"/>
    <w:basedOn w:val="Normal"/>
    <w:uiPriority w:val="34"/>
    <w:qFormat/>
    <w:rsid w:val="0081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3B0CC0C0DA048AF3D0DEA85ACBB57" ma:contentTypeVersion="13" ma:contentTypeDescription="Create a new document." ma:contentTypeScope="" ma:versionID="db268a63204c1b07e6cb89f8dbe061ab">
  <xsd:schema xmlns:xsd="http://www.w3.org/2001/XMLSchema" xmlns:xs="http://www.w3.org/2001/XMLSchema" xmlns:p="http://schemas.microsoft.com/office/2006/metadata/properties" xmlns:ns2="ff9f0e07-3f84-468d-a6a0-69b234c384af" xmlns:ns3="302d515d-b0f7-448e-a63b-227048d429eb" targetNamespace="http://schemas.microsoft.com/office/2006/metadata/properties" ma:root="true" ma:fieldsID="2cab5acbf4175bbd42069bec469c5260" ns2:_="" ns3:_="">
    <xsd:import namespace="ff9f0e07-3f84-468d-a6a0-69b234c384af"/>
    <xsd:import namespace="302d515d-b0f7-448e-a63b-227048d42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f0e07-3f84-468d-a6a0-69b234c38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d515d-b0f7-448e-a63b-227048d42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DE8003-0D03-4F49-A7AF-77D93DE4CE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76CD8-A022-4C9E-A677-5488307DCA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391CA-66F6-4651-8C1C-C55EBC83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f0e07-3f84-468d-a6a0-69b234c384af"/>
    <ds:schemaRef ds:uri="302d515d-b0f7-448e-a63b-227048d42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A0C388-894F-40F3-AAE7-17B7648DF1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 Kenji</dc:creator>
  <cp:lastModifiedBy>Chow Sabrina</cp:lastModifiedBy>
  <cp:revision>10</cp:revision>
  <dcterms:created xsi:type="dcterms:W3CDTF">2024-02-05T03:00:00Z</dcterms:created>
  <dcterms:modified xsi:type="dcterms:W3CDTF">2024-05-08T09:26:00Z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eef69eafef027f07f194eb344feb3e9c2f1f0aa40f8be811e62bf8e63cb90bdf</vt:lpwstr>
  </property>
  <property fmtid="{D5CDD505-2E9C-101B-9397-08002B2CF9AE}" pid="3" name="ContentTypeId">
    <vt:lpwstr>0x010100EDE3B0CC0C0DA048AF3D0DEA85ACBB57</vt:lpwstr>
  </property>
</Properties>
</file>